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9410" w14:textId="3F3E29D8" w:rsidR="00DB508D" w:rsidRPr="00886851" w:rsidRDefault="00DB508D" w:rsidP="00886851">
      <w:pPr>
        <w:pStyle w:val="Heading1"/>
        <w:spacing w:before="0"/>
        <w:rPr>
          <w:rFonts w:ascii="Times New Roman" w:hAnsi="Times New Roman" w:cs="Times New Roman"/>
        </w:rPr>
      </w:pPr>
      <w:r w:rsidRPr="00886851">
        <w:rPr>
          <w:rFonts w:ascii="Times New Roman" w:hAnsi="Times New Roman" w:cs="Times New Roman"/>
        </w:rPr>
        <w:t>Supporting information file 3</w:t>
      </w:r>
    </w:p>
    <w:p w14:paraId="722DED8B" w14:textId="77777777" w:rsidR="00DB508D" w:rsidRPr="00886851" w:rsidRDefault="00DB508D" w:rsidP="00886851">
      <w:pPr>
        <w:pStyle w:val="Heading1"/>
        <w:spacing w:before="0"/>
        <w:rPr>
          <w:rFonts w:ascii="Times New Roman" w:hAnsi="Times New Roman" w:cs="Times New Roman"/>
        </w:rPr>
      </w:pPr>
      <w:r w:rsidRPr="00886851">
        <w:rPr>
          <w:rFonts w:ascii="Times New Roman" w:hAnsi="Times New Roman" w:cs="Times New Roman"/>
        </w:rPr>
        <w:t>Cost calculation methods</w:t>
      </w:r>
    </w:p>
    <w:p w14:paraId="709D2B04" w14:textId="52673867" w:rsidR="00E80F88" w:rsidRPr="00E34B2B" w:rsidRDefault="00DB508D" w:rsidP="00061994">
      <w:pPr>
        <w:pStyle w:val="Heading1"/>
        <w:rPr>
          <w:rFonts w:ascii="Times New Roman" w:hAnsi="Times New Roman" w:cs="Times New Roman"/>
        </w:rPr>
      </w:pPr>
      <w:r w:rsidRPr="00E34B2B">
        <w:rPr>
          <w:rFonts w:ascii="Times New Roman" w:hAnsi="Times New Roman" w:cs="Times New Roman"/>
        </w:rPr>
        <w:t>D</w:t>
      </w:r>
      <w:r w:rsidR="00326DE8" w:rsidRPr="00E34B2B">
        <w:rPr>
          <w:rFonts w:ascii="Times New Roman" w:hAnsi="Times New Roman" w:cs="Times New Roman"/>
        </w:rPr>
        <w:t>ata</w:t>
      </w:r>
      <w:r w:rsidR="00932F64" w:rsidRPr="00E34B2B">
        <w:rPr>
          <w:rFonts w:ascii="Times New Roman" w:hAnsi="Times New Roman" w:cs="Times New Roman"/>
        </w:rPr>
        <w:t xml:space="preserve"> sources and</w:t>
      </w:r>
      <w:r w:rsidR="00326DE8" w:rsidRPr="00E34B2B">
        <w:rPr>
          <w:rFonts w:ascii="Times New Roman" w:hAnsi="Times New Roman" w:cs="Times New Roman"/>
        </w:rPr>
        <w:t xml:space="preserve"> cleaning</w:t>
      </w:r>
    </w:p>
    <w:p w14:paraId="26A520BA" w14:textId="62B8B4D4" w:rsidR="00326DE8" w:rsidRPr="00E34B2B" w:rsidRDefault="00326DE8" w:rsidP="00061994">
      <w:r w:rsidRPr="00E34B2B">
        <w:t xml:space="preserve">We extracted costs information from the following </w:t>
      </w:r>
      <w:r w:rsidR="0078696C">
        <w:t>departments</w:t>
      </w:r>
      <w:r w:rsidRPr="00E34B2B">
        <w:t xml:space="preserve"> (</w:t>
      </w:r>
      <w:r w:rsidRPr="00E34B2B">
        <w:fldChar w:fldCharType="begin"/>
      </w:r>
      <w:r w:rsidRPr="00E34B2B">
        <w:instrText xml:space="preserve"> REF _Ref17736571 \h </w:instrText>
      </w:r>
      <w:r w:rsidR="00153CF8" w:rsidRPr="00E34B2B">
        <w:instrText xml:space="preserve"> \* MERGEFORMAT </w:instrText>
      </w:r>
      <w:r w:rsidRPr="00E34B2B">
        <w:fldChar w:fldCharType="separate"/>
      </w:r>
      <w:r w:rsidRPr="00E34B2B">
        <w:t xml:space="preserve">Table </w:t>
      </w:r>
      <w:r w:rsidRPr="00E34B2B">
        <w:rPr>
          <w:noProof/>
        </w:rPr>
        <w:t>1</w:t>
      </w:r>
      <w:r w:rsidRPr="00E34B2B">
        <w:fldChar w:fldCharType="end"/>
      </w:r>
      <w:r w:rsidRPr="00E34B2B">
        <w:t>)</w:t>
      </w:r>
    </w:p>
    <w:p w14:paraId="7AAA2383" w14:textId="2FBF262A" w:rsidR="0078696C" w:rsidRPr="007754F8" w:rsidRDefault="0078696C" w:rsidP="0078696C">
      <w:pPr>
        <w:pStyle w:val="Caption"/>
        <w:keepNext/>
        <w:spacing w:after="0"/>
        <w:rPr>
          <w:color w:val="auto"/>
          <w:sz w:val="22"/>
          <w:szCs w:val="22"/>
        </w:rPr>
      </w:pPr>
      <w:bookmarkStart w:id="0" w:name="_Ref17736571"/>
      <w:r w:rsidRPr="007754F8">
        <w:rPr>
          <w:color w:val="auto"/>
          <w:sz w:val="22"/>
          <w:szCs w:val="22"/>
        </w:rPr>
        <w:t xml:space="preserve">Table </w:t>
      </w:r>
      <w:r w:rsidRPr="007754F8">
        <w:rPr>
          <w:color w:val="auto"/>
          <w:sz w:val="22"/>
          <w:szCs w:val="22"/>
        </w:rPr>
        <w:fldChar w:fldCharType="begin"/>
      </w:r>
      <w:r w:rsidRPr="007754F8">
        <w:rPr>
          <w:color w:val="auto"/>
          <w:sz w:val="22"/>
          <w:szCs w:val="22"/>
        </w:rPr>
        <w:instrText xml:space="preserve"> SEQ Table \* ARABIC </w:instrText>
      </w:r>
      <w:r w:rsidRPr="007754F8">
        <w:rPr>
          <w:color w:val="auto"/>
          <w:sz w:val="22"/>
          <w:szCs w:val="22"/>
        </w:rPr>
        <w:fldChar w:fldCharType="separate"/>
      </w:r>
      <w:r>
        <w:rPr>
          <w:noProof/>
          <w:color w:val="auto"/>
          <w:sz w:val="22"/>
          <w:szCs w:val="22"/>
        </w:rPr>
        <w:t>1</w:t>
      </w:r>
      <w:r w:rsidRPr="007754F8">
        <w:rPr>
          <w:noProof/>
          <w:color w:val="auto"/>
          <w:sz w:val="22"/>
          <w:szCs w:val="22"/>
        </w:rPr>
        <w:fldChar w:fldCharType="end"/>
      </w:r>
      <w:bookmarkEnd w:id="0"/>
      <w:r w:rsidRPr="007754F8">
        <w:rPr>
          <w:color w:val="auto"/>
          <w:sz w:val="22"/>
          <w:szCs w:val="22"/>
        </w:rPr>
        <w:t xml:space="preserve">. </w:t>
      </w:r>
      <w:r>
        <w:rPr>
          <w:color w:val="auto"/>
          <w:sz w:val="22"/>
          <w:szCs w:val="22"/>
        </w:rPr>
        <w:t xml:space="preserve">Facility records systems containing </w:t>
      </w:r>
      <w:r w:rsidRPr="007754F8">
        <w:rPr>
          <w:color w:val="auto"/>
          <w:sz w:val="22"/>
          <w:szCs w:val="22"/>
        </w:rPr>
        <w:t xml:space="preserve">costs of </w:t>
      </w:r>
      <w:r>
        <w:rPr>
          <w:color w:val="auto"/>
          <w:sz w:val="22"/>
          <w:szCs w:val="22"/>
        </w:rPr>
        <w:t>environmental health service</w:t>
      </w:r>
      <w:r w:rsidRPr="007754F8">
        <w:rPr>
          <w:color w:val="auto"/>
          <w:sz w:val="22"/>
          <w:szCs w:val="22"/>
        </w:rPr>
        <w:t xml:space="preserve"> delivery.</w:t>
      </w:r>
    </w:p>
    <w:tbl>
      <w:tblPr>
        <w:tblStyle w:val="TableGrid"/>
        <w:tblW w:w="0" w:type="auto"/>
        <w:tblLook w:val="04A0" w:firstRow="1" w:lastRow="0" w:firstColumn="1" w:lastColumn="0" w:noHBand="0" w:noVBand="1"/>
      </w:tblPr>
      <w:tblGrid>
        <w:gridCol w:w="4413"/>
        <w:gridCol w:w="2019"/>
        <w:gridCol w:w="2239"/>
      </w:tblGrid>
      <w:tr w:rsidR="0078696C" w:rsidRPr="007754F8" w14:paraId="0F40E77B" w14:textId="77777777" w:rsidTr="00547F10">
        <w:trPr>
          <w:trHeight w:val="312"/>
        </w:trPr>
        <w:tc>
          <w:tcPr>
            <w:tcW w:w="0" w:type="auto"/>
          </w:tcPr>
          <w:p w14:paraId="21D88072" w14:textId="77777777" w:rsidR="0078696C" w:rsidRPr="00547F10" w:rsidRDefault="0078696C" w:rsidP="00547F10">
            <w:pPr>
              <w:pStyle w:val="NoSpacing"/>
              <w:rPr>
                <w:b/>
              </w:rPr>
            </w:pPr>
            <w:r w:rsidRPr="00547F10">
              <w:rPr>
                <w:b/>
              </w:rPr>
              <w:t>Data sources</w:t>
            </w:r>
          </w:p>
        </w:tc>
        <w:tc>
          <w:tcPr>
            <w:tcW w:w="0" w:type="auto"/>
          </w:tcPr>
          <w:p w14:paraId="09C45841" w14:textId="77777777" w:rsidR="0078696C" w:rsidRPr="00547F10" w:rsidRDefault="0078696C" w:rsidP="00547F10">
            <w:pPr>
              <w:pStyle w:val="NoSpacing"/>
              <w:rPr>
                <w:b/>
              </w:rPr>
            </w:pPr>
            <w:r w:rsidRPr="00547F10">
              <w:rPr>
                <w:b/>
              </w:rPr>
              <w:t>Expense categories</w:t>
            </w:r>
          </w:p>
        </w:tc>
        <w:tc>
          <w:tcPr>
            <w:tcW w:w="0" w:type="auto"/>
          </w:tcPr>
          <w:p w14:paraId="4C7A69FD" w14:textId="77777777" w:rsidR="0078696C" w:rsidRPr="00547F10" w:rsidRDefault="0078696C" w:rsidP="00547F10">
            <w:pPr>
              <w:pStyle w:val="NoSpacing"/>
              <w:rPr>
                <w:b/>
              </w:rPr>
            </w:pPr>
            <w:r w:rsidRPr="00547F10">
              <w:rPr>
                <w:b/>
              </w:rPr>
              <w:t>Coverage dates*</w:t>
            </w:r>
          </w:p>
        </w:tc>
      </w:tr>
      <w:tr w:rsidR="0078696C" w:rsidRPr="007754F8" w14:paraId="2298DD3F" w14:textId="77777777" w:rsidTr="00547F10">
        <w:trPr>
          <w:trHeight w:val="291"/>
        </w:trPr>
        <w:tc>
          <w:tcPr>
            <w:tcW w:w="0" w:type="auto"/>
          </w:tcPr>
          <w:p w14:paraId="47FD019F" w14:textId="77777777" w:rsidR="0078696C" w:rsidRPr="007754F8" w:rsidRDefault="0078696C" w:rsidP="00547F10">
            <w:pPr>
              <w:pStyle w:val="NoSpacing"/>
            </w:pPr>
            <w:r w:rsidRPr="007754F8">
              <w:t xml:space="preserve">Administrative </w:t>
            </w:r>
            <w:r>
              <w:t>d</w:t>
            </w:r>
            <w:r w:rsidRPr="007754F8">
              <w:t>epartment accounting software</w:t>
            </w:r>
          </w:p>
          <w:p w14:paraId="5034037B" w14:textId="77777777" w:rsidR="0078696C" w:rsidRPr="007754F8" w:rsidRDefault="0078696C" w:rsidP="00547F10">
            <w:pPr>
              <w:pStyle w:val="NoSpacing"/>
            </w:pPr>
          </w:p>
        </w:tc>
        <w:tc>
          <w:tcPr>
            <w:tcW w:w="0" w:type="auto"/>
          </w:tcPr>
          <w:p w14:paraId="767673E6" w14:textId="77777777" w:rsidR="0078696C" w:rsidRPr="007754F8" w:rsidRDefault="0078696C" w:rsidP="00547F10">
            <w:pPr>
              <w:pStyle w:val="NoSpacing"/>
            </w:pPr>
            <w:r w:rsidRPr="007754F8">
              <w:t>Capital hardware</w:t>
            </w:r>
          </w:p>
          <w:p w14:paraId="3949462D" w14:textId="77777777" w:rsidR="0078696C" w:rsidRPr="007754F8" w:rsidRDefault="0078696C" w:rsidP="00547F10">
            <w:pPr>
              <w:pStyle w:val="NoSpacing"/>
            </w:pPr>
            <w:r w:rsidRPr="007754F8">
              <w:t>Capital maintenance</w:t>
            </w:r>
          </w:p>
          <w:p w14:paraId="4B15FD7F" w14:textId="77777777" w:rsidR="0078696C" w:rsidRPr="007754F8" w:rsidRDefault="0078696C" w:rsidP="00547F10">
            <w:pPr>
              <w:pStyle w:val="NoSpacing"/>
            </w:pPr>
            <w:r w:rsidRPr="007754F8">
              <w:t>Consumables</w:t>
            </w:r>
          </w:p>
        </w:tc>
        <w:tc>
          <w:tcPr>
            <w:tcW w:w="0" w:type="auto"/>
          </w:tcPr>
          <w:p w14:paraId="25AAC01D" w14:textId="77777777" w:rsidR="0078696C" w:rsidRPr="007754F8" w:rsidRDefault="0078696C" w:rsidP="00547F10">
            <w:pPr>
              <w:pStyle w:val="NoSpacing"/>
            </w:pPr>
            <w:r w:rsidRPr="007754F8">
              <w:t xml:space="preserve">Dec. </w:t>
            </w:r>
            <w:r>
              <w:t>20</w:t>
            </w:r>
            <w:r w:rsidRPr="007754F8">
              <w:t xml:space="preserve">16 – May </w:t>
            </w:r>
            <w:r>
              <w:t>20</w:t>
            </w:r>
            <w:r w:rsidRPr="007754F8">
              <w:t>18</w:t>
            </w:r>
          </w:p>
        </w:tc>
      </w:tr>
      <w:tr w:rsidR="0078696C" w:rsidRPr="007754F8" w14:paraId="138D2444" w14:textId="77777777" w:rsidTr="00547F10">
        <w:trPr>
          <w:trHeight w:val="291"/>
        </w:trPr>
        <w:tc>
          <w:tcPr>
            <w:tcW w:w="0" w:type="auto"/>
          </w:tcPr>
          <w:p w14:paraId="5D6C8304" w14:textId="77777777" w:rsidR="0078696C" w:rsidRPr="007754F8" w:rsidRDefault="0078696C" w:rsidP="00547F10">
            <w:pPr>
              <w:pStyle w:val="NoSpacing"/>
            </w:pPr>
            <w:r w:rsidRPr="007754F8">
              <w:t xml:space="preserve">General </w:t>
            </w:r>
            <w:r>
              <w:t>s</w:t>
            </w:r>
            <w:r w:rsidRPr="007754F8">
              <w:t xml:space="preserve">tores </w:t>
            </w:r>
            <w:r>
              <w:t>d</w:t>
            </w:r>
            <w:r w:rsidRPr="007754F8">
              <w:t>epartment accounting software</w:t>
            </w:r>
          </w:p>
        </w:tc>
        <w:tc>
          <w:tcPr>
            <w:tcW w:w="0" w:type="auto"/>
          </w:tcPr>
          <w:p w14:paraId="26EB1515" w14:textId="77777777" w:rsidR="0078696C" w:rsidRPr="007754F8" w:rsidRDefault="0078696C" w:rsidP="00547F10">
            <w:pPr>
              <w:pStyle w:val="NoSpacing"/>
            </w:pPr>
            <w:r w:rsidRPr="007754F8">
              <w:t>Capital hardware</w:t>
            </w:r>
          </w:p>
          <w:p w14:paraId="23949E4C" w14:textId="77777777" w:rsidR="0078696C" w:rsidRPr="007754F8" w:rsidRDefault="0078696C" w:rsidP="00547F10">
            <w:pPr>
              <w:pStyle w:val="NoSpacing"/>
            </w:pPr>
            <w:r w:rsidRPr="007754F8">
              <w:t>Consumables</w:t>
            </w:r>
          </w:p>
        </w:tc>
        <w:tc>
          <w:tcPr>
            <w:tcW w:w="0" w:type="auto"/>
          </w:tcPr>
          <w:p w14:paraId="17899105" w14:textId="77777777" w:rsidR="0078696C" w:rsidRPr="007754F8" w:rsidRDefault="0078696C" w:rsidP="00547F10">
            <w:pPr>
              <w:pStyle w:val="NoSpacing"/>
            </w:pPr>
            <w:r w:rsidRPr="007754F8">
              <w:t xml:space="preserve">Dec. </w:t>
            </w:r>
            <w:r>
              <w:t>20</w:t>
            </w:r>
            <w:r w:rsidRPr="007754F8">
              <w:t xml:space="preserve">16 – May </w:t>
            </w:r>
            <w:r>
              <w:t>20</w:t>
            </w:r>
            <w:r w:rsidRPr="007754F8">
              <w:t>18</w:t>
            </w:r>
          </w:p>
        </w:tc>
      </w:tr>
      <w:tr w:rsidR="0078696C" w:rsidRPr="007754F8" w14:paraId="74B66F7B" w14:textId="77777777" w:rsidTr="00547F10">
        <w:trPr>
          <w:trHeight w:val="291"/>
        </w:trPr>
        <w:tc>
          <w:tcPr>
            <w:tcW w:w="0" w:type="auto"/>
          </w:tcPr>
          <w:p w14:paraId="28B50811" w14:textId="77777777" w:rsidR="0078696C" w:rsidRPr="007754F8" w:rsidRDefault="0078696C" w:rsidP="00547F10">
            <w:pPr>
              <w:pStyle w:val="NoSpacing"/>
            </w:pPr>
            <w:r w:rsidRPr="007754F8">
              <w:t>Pharmacy Department procurement records</w:t>
            </w:r>
          </w:p>
        </w:tc>
        <w:tc>
          <w:tcPr>
            <w:tcW w:w="0" w:type="auto"/>
          </w:tcPr>
          <w:p w14:paraId="440332F7" w14:textId="77777777" w:rsidR="0078696C" w:rsidRPr="007754F8" w:rsidRDefault="0078696C" w:rsidP="00547F10">
            <w:pPr>
              <w:pStyle w:val="NoSpacing"/>
            </w:pPr>
            <w:r w:rsidRPr="007754F8">
              <w:t>Consumables</w:t>
            </w:r>
          </w:p>
        </w:tc>
        <w:tc>
          <w:tcPr>
            <w:tcW w:w="0" w:type="auto"/>
          </w:tcPr>
          <w:p w14:paraId="49C70FD0" w14:textId="77777777" w:rsidR="0078696C" w:rsidRPr="007754F8" w:rsidRDefault="0078696C" w:rsidP="00547F10">
            <w:pPr>
              <w:pStyle w:val="NoSpacing"/>
            </w:pPr>
            <w:r w:rsidRPr="007754F8">
              <w:t xml:space="preserve">Oct. </w:t>
            </w:r>
            <w:r>
              <w:t>20</w:t>
            </w:r>
            <w:r w:rsidRPr="007754F8">
              <w:t xml:space="preserve">17 – June </w:t>
            </w:r>
            <w:r>
              <w:t>20</w:t>
            </w:r>
            <w:r w:rsidRPr="007754F8">
              <w:t>18</w:t>
            </w:r>
          </w:p>
        </w:tc>
      </w:tr>
      <w:tr w:rsidR="0078696C" w:rsidRPr="007754F8" w14:paraId="15A058C5" w14:textId="77777777" w:rsidTr="00547F10">
        <w:trPr>
          <w:trHeight w:val="291"/>
        </w:trPr>
        <w:tc>
          <w:tcPr>
            <w:tcW w:w="0" w:type="auto"/>
          </w:tcPr>
          <w:p w14:paraId="15DFC87C" w14:textId="77777777" w:rsidR="0078696C" w:rsidRPr="007754F8" w:rsidRDefault="0078696C" w:rsidP="00547F10">
            <w:pPr>
              <w:pStyle w:val="NoSpacing"/>
            </w:pPr>
            <w:r w:rsidRPr="007754F8">
              <w:t>Laboratory Department inventory records</w:t>
            </w:r>
          </w:p>
        </w:tc>
        <w:tc>
          <w:tcPr>
            <w:tcW w:w="0" w:type="auto"/>
          </w:tcPr>
          <w:p w14:paraId="451AE7D5" w14:textId="77777777" w:rsidR="0078696C" w:rsidRPr="007754F8" w:rsidRDefault="0078696C" w:rsidP="00547F10">
            <w:pPr>
              <w:pStyle w:val="NoSpacing"/>
            </w:pPr>
            <w:r w:rsidRPr="007754F8">
              <w:t>Consumables</w:t>
            </w:r>
          </w:p>
        </w:tc>
        <w:tc>
          <w:tcPr>
            <w:tcW w:w="0" w:type="auto"/>
          </w:tcPr>
          <w:p w14:paraId="343CA55B" w14:textId="77777777" w:rsidR="0078696C" w:rsidRPr="007754F8" w:rsidRDefault="0078696C" w:rsidP="00547F10">
            <w:pPr>
              <w:pStyle w:val="NoSpacing"/>
            </w:pPr>
            <w:r w:rsidRPr="007754F8">
              <w:t xml:space="preserve">Jan. </w:t>
            </w:r>
            <w:r>
              <w:t>20</w:t>
            </w:r>
            <w:r w:rsidRPr="007754F8">
              <w:t xml:space="preserve">16 – Dec. </w:t>
            </w:r>
            <w:r>
              <w:t>20</w:t>
            </w:r>
            <w:r w:rsidRPr="007754F8">
              <w:t>17</w:t>
            </w:r>
          </w:p>
        </w:tc>
      </w:tr>
      <w:tr w:rsidR="0078696C" w:rsidRPr="007754F8" w14:paraId="4718536A" w14:textId="77777777" w:rsidTr="00547F10">
        <w:trPr>
          <w:trHeight w:val="291"/>
        </w:trPr>
        <w:tc>
          <w:tcPr>
            <w:tcW w:w="0" w:type="auto"/>
          </w:tcPr>
          <w:p w14:paraId="437A46B2" w14:textId="77777777" w:rsidR="0078696C" w:rsidRPr="007754F8" w:rsidRDefault="0078696C" w:rsidP="00547F10">
            <w:pPr>
              <w:pStyle w:val="NoSpacing"/>
            </w:pPr>
            <w:r w:rsidRPr="007754F8">
              <w:t>Budget spreadsheets for annual trainings</w:t>
            </w:r>
          </w:p>
        </w:tc>
        <w:tc>
          <w:tcPr>
            <w:tcW w:w="0" w:type="auto"/>
          </w:tcPr>
          <w:p w14:paraId="44F6FF4B" w14:textId="77777777" w:rsidR="0078696C" w:rsidRPr="007754F8" w:rsidRDefault="0078696C" w:rsidP="00547F10">
            <w:pPr>
              <w:pStyle w:val="NoSpacing"/>
            </w:pPr>
            <w:r w:rsidRPr="007754F8">
              <w:t>Recurrent trainings</w:t>
            </w:r>
          </w:p>
        </w:tc>
        <w:tc>
          <w:tcPr>
            <w:tcW w:w="0" w:type="auto"/>
          </w:tcPr>
          <w:p w14:paraId="52ACB7E9" w14:textId="77777777" w:rsidR="0078696C" w:rsidRPr="007754F8" w:rsidRDefault="0078696C" w:rsidP="00547F10">
            <w:pPr>
              <w:pStyle w:val="NoSpacing"/>
            </w:pPr>
            <w:r w:rsidRPr="007754F8">
              <w:t xml:space="preserve">Jan. </w:t>
            </w:r>
            <w:r>
              <w:t>20</w:t>
            </w:r>
            <w:r w:rsidRPr="007754F8">
              <w:t xml:space="preserve">18 – Dec. </w:t>
            </w:r>
            <w:r>
              <w:t>20</w:t>
            </w:r>
            <w:r w:rsidRPr="007754F8">
              <w:t>18</w:t>
            </w:r>
          </w:p>
        </w:tc>
      </w:tr>
      <w:tr w:rsidR="0078696C" w:rsidRPr="007754F8" w14:paraId="1D4ACF3D" w14:textId="77777777" w:rsidTr="00547F10">
        <w:trPr>
          <w:trHeight w:val="64"/>
        </w:trPr>
        <w:tc>
          <w:tcPr>
            <w:tcW w:w="0" w:type="auto"/>
          </w:tcPr>
          <w:p w14:paraId="0B44E752" w14:textId="77777777" w:rsidR="0078696C" w:rsidRPr="007754F8" w:rsidRDefault="0078696C" w:rsidP="00547F10">
            <w:pPr>
              <w:pStyle w:val="NoSpacing"/>
            </w:pPr>
            <w:r w:rsidRPr="007754F8">
              <w:t>Human Resources salary spreadsheets</w:t>
            </w:r>
          </w:p>
        </w:tc>
        <w:tc>
          <w:tcPr>
            <w:tcW w:w="0" w:type="auto"/>
          </w:tcPr>
          <w:p w14:paraId="6D6AF826" w14:textId="77777777" w:rsidR="0078696C" w:rsidRPr="007754F8" w:rsidRDefault="0078696C" w:rsidP="00547F10">
            <w:pPr>
              <w:pStyle w:val="NoSpacing"/>
            </w:pPr>
            <w:r w:rsidRPr="007754F8">
              <w:t>Personnel</w:t>
            </w:r>
          </w:p>
        </w:tc>
        <w:tc>
          <w:tcPr>
            <w:tcW w:w="0" w:type="auto"/>
          </w:tcPr>
          <w:p w14:paraId="3BBEAEF5" w14:textId="77777777" w:rsidR="0078696C" w:rsidRPr="007754F8" w:rsidRDefault="0078696C" w:rsidP="00547F10">
            <w:pPr>
              <w:pStyle w:val="NoSpacing"/>
            </w:pPr>
            <w:r w:rsidRPr="007754F8">
              <w:t xml:space="preserve">Jan. </w:t>
            </w:r>
            <w:r>
              <w:t>20</w:t>
            </w:r>
            <w:r w:rsidRPr="007754F8">
              <w:t xml:space="preserve">18 – Dec. </w:t>
            </w:r>
            <w:r>
              <w:t>20</w:t>
            </w:r>
            <w:r w:rsidRPr="007754F8">
              <w:t>18</w:t>
            </w:r>
          </w:p>
        </w:tc>
      </w:tr>
      <w:tr w:rsidR="0078696C" w:rsidRPr="007754F8" w14:paraId="5C4E7838" w14:textId="77777777" w:rsidTr="00547F10">
        <w:trPr>
          <w:trHeight w:val="64"/>
        </w:trPr>
        <w:tc>
          <w:tcPr>
            <w:tcW w:w="0" w:type="auto"/>
            <w:gridSpan w:val="3"/>
          </w:tcPr>
          <w:p w14:paraId="59FD0FA8" w14:textId="77777777" w:rsidR="0078696C" w:rsidRPr="007754F8" w:rsidRDefault="0078696C" w:rsidP="00547F10">
            <w:pPr>
              <w:pStyle w:val="NoSpacing"/>
            </w:pPr>
            <w:r w:rsidRPr="007754F8">
              <w:t>* Coverage dates are inclusive of all days for the indicated month</w:t>
            </w:r>
          </w:p>
        </w:tc>
      </w:tr>
    </w:tbl>
    <w:p w14:paraId="0E6FA655" w14:textId="77777777" w:rsidR="00326DE8" w:rsidRPr="00E34B2B" w:rsidRDefault="00326DE8" w:rsidP="00061994"/>
    <w:p w14:paraId="483CF3C9" w14:textId="615097D1" w:rsidR="00326DE8" w:rsidRPr="00E34B2B" w:rsidRDefault="00326DE8" w:rsidP="00061994">
      <w:pPr>
        <w:pStyle w:val="Heading2"/>
        <w:rPr>
          <w:rFonts w:ascii="Times New Roman" w:hAnsi="Times New Roman" w:cs="Times New Roman"/>
        </w:rPr>
      </w:pPr>
      <w:r w:rsidRPr="00E34B2B">
        <w:rPr>
          <w:rFonts w:ascii="Times New Roman" w:hAnsi="Times New Roman" w:cs="Times New Roman"/>
        </w:rPr>
        <w:t>Administrative and General Stores departments</w:t>
      </w:r>
    </w:p>
    <w:p w14:paraId="3CD39FE5" w14:textId="32A725F2" w:rsidR="00932F64" w:rsidRPr="00E34B2B" w:rsidRDefault="00326DE8" w:rsidP="00061994">
      <w:r w:rsidRPr="00E34B2B">
        <w:t>These records contained line item descriptions, dates of purchases, and total transaction costs. Unit prices of goods were identified through visits to in-country and online suppliers. Quantities of goods purchased were calculated as total transaction costs divided by unit cost. Some quantities are not whole numbers due to variation in un</w:t>
      </w:r>
      <w:r w:rsidR="00932F64" w:rsidRPr="00E34B2B">
        <w:t>it costs. Unit costs and quantities were not applicable to services and tax payments, and this information was left as missing for these line items.</w:t>
      </w:r>
    </w:p>
    <w:p w14:paraId="63A502D0" w14:textId="3FA6232A" w:rsidR="00932F64" w:rsidRPr="00E34B2B" w:rsidRDefault="00932F64" w:rsidP="00061994">
      <w:pPr>
        <w:pStyle w:val="Heading2"/>
        <w:rPr>
          <w:rFonts w:ascii="Times New Roman" w:hAnsi="Times New Roman" w:cs="Times New Roman"/>
        </w:rPr>
      </w:pPr>
      <w:r w:rsidRPr="00E34B2B">
        <w:rPr>
          <w:rFonts w:ascii="Times New Roman" w:hAnsi="Times New Roman" w:cs="Times New Roman"/>
        </w:rPr>
        <w:t>Pharmacy department</w:t>
      </w:r>
    </w:p>
    <w:p w14:paraId="0A9CD1AD" w14:textId="56F16F51" w:rsidR="00326DE8" w:rsidRPr="00E34B2B" w:rsidRDefault="00932F64" w:rsidP="00061994">
      <w:r w:rsidRPr="00E34B2B">
        <w:t>Pharmacy records indicated quantities of goods purchased, unit prices, and  dates of purchases. Total transaction costs were calculated as a function of unit price * quantity.</w:t>
      </w:r>
    </w:p>
    <w:p w14:paraId="5CE62350" w14:textId="6DFDE0CE" w:rsidR="00932F64" w:rsidRPr="00E34B2B" w:rsidRDefault="00932F64" w:rsidP="00061994">
      <w:pPr>
        <w:pStyle w:val="Heading2"/>
        <w:rPr>
          <w:rFonts w:ascii="Times New Roman" w:hAnsi="Times New Roman" w:cs="Times New Roman"/>
        </w:rPr>
      </w:pPr>
      <w:r w:rsidRPr="00E34B2B">
        <w:rPr>
          <w:rFonts w:ascii="Times New Roman" w:hAnsi="Times New Roman" w:cs="Times New Roman"/>
        </w:rPr>
        <w:t>Laboratory department</w:t>
      </w:r>
    </w:p>
    <w:p w14:paraId="69361E93" w14:textId="51677653" w:rsidR="00932F64" w:rsidRPr="00E34B2B" w:rsidRDefault="00932F64" w:rsidP="00061994">
      <w:r w:rsidRPr="00E34B2B">
        <w:t>Laboratory records indicated quantities of goods purchased and dates of purchases. Unit prices were not recorded, as the system was primarily used for inventory tracking rather than accounting. Unit prices of goods were identified through paper and electronic receipts from laboratory staff and visits to in-country and online suppliers where goods were purchased. Total transaction costs were calculated as a function of unit price * quantity.</w:t>
      </w:r>
    </w:p>
    <w:p w14:paraId="09333DF3" w14:textId="531C4F20" w:rsidR="00932F64" w:rsidRPr="00E34B2B" w:rsidRDefault="00932F64" w:rsidP="00061994">
      <w:pPr>
        <w:pStyle w:val="Heading2"/>
        <w:rPr>
          <w:rFonts w:ascii="Times New Roman" w:hAnsi="Times New Roman" w:cs="Times New Roman"/>
        </w:rPr>
      </w:pPr>
      <w:r w:rsidRPr="00E34B2B">
        <w:rPr>
          <w:rFonts w:ascii="Times New Roman" w:hAnsi="Times New Roman" w:cs="Times New Roman"/>
        </w:rPr>
        <w:t>Budget spreadsheets for annual trainings</w:t>
      </w:r>
    </w:p>
    <w:p w14:paraId="00146009" w14:textId="2E649104" w:rsidR="00932F64" w:rsidRPr="00E34B2B" w:rsidRDefault="00932F64" w:rsidP="00061994">
      <w:r w:rsidRPr="00E34B2B">
        <w:t xml:space="preserve">Training budgets included </w:t>
      </w:r>
      <w:r w:rsidR="00012EC0" w:rsidRPr="00E34B2B">
        <w:t>costs of attendee and facilitator per diems and refreshments only. Costs for curriculum development, materials for delivering trainings (e.g., stationary), transportation, and venue costs were not included</w:t>
      </w:r>
      <w:r w:rsidR="00061994" w:rsidRPr="00E34B2B">
        <w:t>.</w:t>
      </w:r>
    </w:p>
    <w:p w14:paraId="7033D270" w14:textId="141B71C6" w:rsidR="00061994" w:rsidRPr="00E34B2B" w:rsidRDefault="00061994" w:rsidP="00061994">
      <w:pPr>
        <w:pStyle w:val="Heading2"/>
        <w:rPr>
          <w:rFonts w:ascii="Times New Roman" w:hAnsi="Times New Roman" w:cs="Times New Roman"/>
        </w:rPr>
      </w:pPr>
      <w:r w:rsidRPr="00E34B2B">
        <w:rPr>
          <w:rFonts w:ascii="Times New Roman" w:hAnsi="Times New Roman" w:cs="Times New Roman"/>
        </w:rPr>
        <w:t>Human resources salary spreadsheets</w:t>
      </w:r>
    </w:p>
    <w:p w14:paraId="7BE88235" w14:textId="13FDBF69" w:rsidR="00061994" w:rsidRPr="00E34B2B" w:rsidRDefault="00061994" w:rsidP="00061994">
      <w:r w:rsidRPr="00E34B2B">
        <w:t>Salary spreadsheets reported monthly salaries for 2018, which we converted to annual salaries.</w:t>
      </w:r>
    </w:p>
    <w:p w14:paraId="58E52E44" w14:textId="71591FDB" w:rsidR="00061994" w:rsidRPr="00E34B2B" w:rsidRDefault="00061994" w:rsidP="00DB508D">
      <w:pPr>
        <w:pStyle w:val="Heading1"/>
        <w:rPr>
          <w:rFonts w:ascii="Times New Roman" w:hAnsi="Times New Roman" w:cs="Times New Roman"/>
        </w:rPr>
      </w:pPr>
      <w:r w:rsidRPr="00E34B2B">
        <w:rPr>
          <w:rFonts w:ascii="Times New Roman" w:hAnsi="Times New Roman" w:cs="Times New Roman"/>
        </w:rPr>
        <w:br w:type="page"/>
      </w:r>
      <w:r w:rsidR="00DB508D" w:rsidRPr="00E34B2B">
        <w:rPr>
          <w:rFonts w:ascii="Times New Roman" w:hAnsi="Times New Roman" w:cs="Times New Roman"/>
        </w:rPr>
        <w:lastRenderedPageBreak/>
        <w:t>F</w:t>
      </w:r>
      <w:r w:rsidRPr="00E34B2B">
        <w:rPr>
          <w:rFonts w:ascii="Times New Roman" w:hAnsi="Times New Roman" w:cs="Times New Roman"/>
        </w:rPr>
        <w:t>oreign exchange rate and inflation adjustments</w:t>
      </w:r>
    </w:p>
    <w:p w14:paraId="73F56B16" w14:textId="68DE1B2B" w:rsidR="00061994" w:rsidRPr="00E34B2B" w:rsidRDefault="00061994" w:rsidP="00061994">
      <w:r w:rsidRPr="00E34B2B">
        <w:t xml:space="preserve">We converted all costs to 2019 USD using the following rates from </w:t>
      </w:r>
      <w:r w:rsidRPr="00E34B2B">
        <w:fldChar w:fldCharType="begin"/>
      </w:r>
      <w:r w:rsidRPr="00E34B2B">
        <w:instrText xml:space="preserve"> REF _Ref42254685 \h  \* MERGEFORMAT </w:instrText>
      </w:r>
      <w:r w:rsidRPr="00E34B2B">
        <w:fldChar w:fldCharType="separate"/>
      </w:r>
      <w:r w:rsidRPr="00E34B2B">
        <w:t>Table 2</w:t>
      </w:r>
      <w:r w:rsidRPr="00E34B2B">
        <w:fldChar w:fldCharType="end"/>
      </w:r>
      <w:r w:rsidRPr="00E34B2B">
        <w:t>. All costs in Malawi kwacha (MWK) were first converted to United States dollars (USD) using the foreign exchange rate from the year in which costs were incurred.</w:t>
      </w:r>
      <w:r w:rsidRPr="00E34B2B">
        <w:rPr>
          <w:rStyle w:val="FootnoteReference"/>
        </w:rPr>
        <w:footnoteReference w:id="1"/>
      </w:r>
      <w:r w:rsidRPr="00E34B2B">
        <w:t xml:space="preserve"> All costs were then adjusted for inflation from the year in which they were incurred to 2019.</w:t>
      </w:r>
      <w:r w:rsidRPr="00E34B2B">
        <w:rPr>
          <w:rStyle w:val="FootnoteReference"/>
        </w:rPr>
        <w:footnoteReference w:id="2"/>
      </w:r>
    </w:p>
    <w:p w14:paraId="1F25A28D" w14:textId="7DF968A3" w:rsidR="00061994" w:rsidRPr="00E34B2B" w:rsidRDefault="00061994" w:rsidP="00061994">
      <w:pPr>
        <w:pStyle w:val="NoSpacing"/>
        <w:rPr>
          <w:i/>
          <w:iCs/>
        </w:rPr>
      </w:pPr>
      <w:bookmarkStart w:id="1" w:name="_Ref42254685"/>
      <w:r w:rsidRPr="00E34B2B">
        <w:rPr>
          <w:i/>
          <w:iCs/>
        </w:rPr>
        <w:t xml:space="preserve">Table </w:t>
      </w:r>
      <w:r w:rsidRPr="00E34B2B">
        <w:rPr>
          <w:i/>
          <w:iCs/>
        </w:rPr>
        <w:fldChar w:fldCharType="begin"/>
      </w:r>
      <w:r w:rsidRPr="00E34B2B">
        <w:rPr>
          <w:i/>
          <w:iCs/>
        </w:rPr>
        <w:instrText xml:space="preserve"> SEQ Table \* ARABIC </w:instrText>
      </w:r>
      <w:r w:rsidRPr="00E34B2B">
        <w:rPr>
          <w:i/>
          <w:iCs/>
        </w:rPr>
        <w:fldChar w:fldCharType="separate"/>
      </w:r>
      <w:r w:rsidR="00EE60A3" w:rsidRPr="00E34B2B">
        <w:rPr>
          <w:i/>
          <w:iCs/>
          <w:noProof/>
        </w:rPr>
        <w:t>2</w:t>
      </w:r>
      <w:r w:rsidRPr="00E34B2B">
        <w:rPr>
          <w:i/>
          <w:iCs/>
        </w:rPr>
        <w:fldChar w:fldCharType="end"/>
      </w:r>
      <w:bookmarkEnd w:id="1"/>
      <w:r w:rsidRPr="00E34B2B">
        <w:rPr>
          <w:i/>
          <w:iCs/>
        </w:rPr>
        <w:t>. Currency conversion rates</w:t>
      </w:r>
    </w:p>
    <w:tbl>
      <w:tblPr>
        <w:tblW w:w="6110" w:type="dxa"/>
        <w:tblLook w:val="04A0" w:firstRow="1" w:lastRow="0" w:firstColumn="1" w:lastColumn="0" w:noHBand="0" w:noVBand="1"/>
      </w:tblPr>
      <w:tblGrid>
        <w:gridCol w:w="2702"/>
        <w:gridCol w:w="3408"/>
      </w:tblGrid>
      <w:tr w:rsidR="00061994" w:rsidRPr="00E34B2B" w14:paraId="29F36CC2" w14:textId="77777777" w:rsidTr="00061994">
        <w:trPr>
          <w:trHeight w:val="259"/>
        </w:trPr>
        <w:tc>
          <w:tcPr>
            <w:tcW w:w="6110" w:type="dxa"/>
            <w:gridSpan w:val="2"/>
            <w:tcBorders>
              <w:top w:val="single" w:sz="8" w:space="0" w:color="auto"/>
              <w:left w:val="single" w:sz="8" w:space="0" w:color="auto"/>
              <w:bottom w:val="nil"/>
              <w:right w:val="single" w:sz="8" w:space="0" w:color="000000"/>
            </w:tcBorders>
            <w:shd w:val="clear" w:color="auto" w:fill="auto"/>
            <w:vAlign w:val="bottom"/>
            <w:hideMark/>
          </w:tcPr>
          <w:p w14:paraId="02203DE7" w14:textId="0C0B8F6C" w:rsidR="00061994" w:rsidRPr="00E34B2B" w:rsidRDefault="00061994" w:rsidP="00061994">
            <w:pPr>
              <w:pStyle w:val="NoSpacing"/>
              <w:rPr>
                <w:b/>
                <w:bCs/>
              </w:rPr>
            </w:pPr>
            <w:r w:rsidRPr="00E34B2B">
              <w:rPr>
                <w:b/>
                <w:bCs/>
              </w:rPr>
              <w:t>Foreign exchange rates</w:t>
            </w:r>
          </w:p>
        </w:tc>
      </w:tr>
      <w:tr w:rsidR="00061994" w:rsidRPr="00E34B2B" w14:paraId="27FDFB1E" w14:textId="77777777" w:rsidTr="00061994">
        <w:trPr>
          <w:trHeight w:val="259"/>
        </w:trPr>
        <w:tc>
          <w:tcPr>
            <w:tcW w:w="2702" w:type="dxa"/>
            <w:tcBorders>
              <w:top w:val="single" w:sz="4" w:space="0" w:color="auto"/>
              <w:left w:val="single" w:sz="8" w:space="0" w:color="auto"/>
              <w:bottom w:val="nil"/>
              <w:right w:val="nil"/>
            </w:tcBorders>
            <w:shd w:val="clear" w:color="auto" w:fill="auto"/>
            <w:noWrap/>
            <w:vAlign w:val="bottom"/>
            <w:hideMark/>
          </w:tcPr>
          <w:p w14:paraId="7AA01DE6" w14:textId="597414F7" w:rsidR="00061994" w:rsidRPr="00E34B2B" w:rsidRDefault="00061994" w:rsidP="00061994">
            <w:pPr>
              <w:pStyle w:val="NoSpacing"/>
            </w:pPr>
            <w:r w:rsidRPr="00E34B2B">
              <w:t>Foreign exchange rate 2016</w:t>
            </w:r>
          </w:p>
        </w:tc>
        <w:tc>
          <w:tcPr>
            <w:tcW w:w="3408" w:type="dxa"/>
            <w:tcBorders>
              <w:top w:val="single" w:sz="4" w:space="0" w:color="auto"/>
              <w:left w:val="nil"/>
              <w:bottom w:val="nil"/>
              <w:right w:val="single" w:sz="8" w:space="0" w:color="000000"/>
            </w:tcBorders>
            <w:shd w:val="clear" w:color="auto" w:fill="auto"/>
            <w:noWrap/>
            <w:vAlign w:val="bottom"/>
            <w:hideMark/>
          </w:tcPr>
          <w:p w14:paraId="6BA80613" w14:textId="77777777" w:rsidR="00061994" w:rsidRPr="00E34B2B" w:rsidRDefault="00061994" w:rsidP="00061994">
            <w:pPr>
              <w:pStyle w:val="NoSpacing"/>
            </w:pPr>
            <w:r w:rsidRPr="00E34B2B">
              <w:t>615 MWK = 1 USD</w:t>
            </w:r>
          </w:p>
        </w:tc>
      </w:tr>
      <w:tr w:rsidR="00061994" w:rsidRPr="00E34B2B" w14:paraId="1185C094" w14:textId="77777777" w:rsidTr="00061994">
        <w:trPr>
          <w:trHeight w:val="259"/>
        </w:trPr>
        <w:tc>
          <w:tcPr>
            <w:tcW w:w="2702" w:type="dxa"/>
            <w:tcBorders>
              <w:top w:val="nil"/>
              <w:left w:val="single" w:sz="8" w:space="0" w:color="auto"/>
              <w:bottom w:val="nil"/>
              <w:right w:val="nil"/>
            </w:tcBorders>
            <w:shd w:val="clear" w:color="auto" w:fill="auto"/>
            <w:noWrap/>
            <w:vAlign w:val="bottom"/>
            <w:hideMark/>
          </w:tcPr>
          <w:p w14:paraId="55977D3F" w14:textId="3EEFC476" w:rsidR="00061994" w:rsidRPr="00E34B2B" w:rsidRDefault="00061994" w:rsidP="00061994">
            <w:pPr>
              <w:pStyle w:val="NoSpacing"/>
            </w:pPr>
            <w:r w:rsidRPr="00E34B2B">
              <w:t>Foreign exchange rate 2017</w:t>
            </w:r>
          </w:p>
        </w:tc>
        <w:tc>
          <w:tcPr>
            <w:tcW w:w="3408" w:type="dxa"/>
            <w:tcBorders>
              <w:top w:val="nil"/>
              <w:left w:val="nil"/>
              <w:bottom w:val="nil"/>
              <w:right w:val="single" w:sz="8" w:space="0" w:color="auto"/>
            </w:tcBorders>
            <w:shd w:val="clear" w:color="auto" w:fill="auto"/>
            <w:noWrap/>
            <w:vAlign w:val="bottom"/>
            <w:hideMark/>
          </w:tcPr>
          <w:p w14:paraId="2FACC170" w14:textId="77777777" w:rsidR="00061994" w:rsidRPr="00E34B2B" w:rsidRDefault="00061994" w:rsidP="00061994">
            <w:pPr>
              <w:pStyle w:val="NoSpacing"/>
            </w:pPr>
            <w:r w:rsidRPr="00E34B2B">
              <w:t>715 MWK = 1 USD</w:t>
            </w:r>
          </w:p>
        </w:tc>
      </w:tr>
      <w:tr w:rsidR="00061994" w:rsidRPr="00E34B2B" w14:paraId="09DCD414" w14:textId="77777777" w:rsidTr="00061994">
        <w:trPr>
          <w:trHeight w:val="259"/>
        </w:trPr>
        <w:tc>
          <w:tcPr>
            <w:tcW w:w="2702" w:type="dxa"/>
            <w:tcBorders>
              <w:top w:val="nil"/>
              <w:left w:val="single" w:sz="8" w:space="0" w:color="auto"/>
              <w:bottom w:val="nil"/>
              <w:right w:val="nil"/>
            </w:tcBorders>
            <w:shd w:val="clear" w:color="auto" w:fill="auto"/>
            <w:noWrap/>
            <w:vAlign w:val="bottom"/>
            <w:hideMark/>
          </w:tcPr>
          <w:p w14:paraId="5339ADE7" w14:textId="0F50AEFF" w:rsidR="00061994" w:rsidRPr="00E34B2B" w:rsidRDefault="00061994" w:rsidP="00061994">
            <w:pPr>
              <w:pStyle w:val="NoSpacing"/>
            </w:pPr>
            <w:r w:rsidRPr="00E34B2B">
              <w:t>Foreign exchange rate 2018</w:t>
            </w:r>
          </w:p>
        </w:tc>
        <w:tc>
          <w:tcPr>
            <w:tcW w:w="3408" w:type="dxa"/>
            <w:tcBorders>
              <w:top w:val="nil"/>
              <w:left w:val="nil"/>
              <w:bottom w:val="nil"/>
              <w:right w:val="single" w:sz="8" w:space="0" w:color="auto"/>
            </w:tcBorders>
            <w:shd w:val="clear" w:color="auto" w:fill="auto"/>
            <w:noWrap/>
            <w:vAlign w:val="bottom"/>
            <w:hideMark/>
          </w:tcPr>
          <w:p w14:paraId="66D16356" w14:textId="77777777" w:rsidR="00061994" w:rsidRPr="00E34B2B" w:rsidRDefault="00061994" w:rsidP="00061994">
            <w:pPr>
              <w:pStyle w:val="NoSpacing"/>
            </w:pPr>
            <w:r w:rsidRPr="00E34B2B">
              <w:t>725 MWK = 1 USD</w:t>
            </w:r>
          </w:p>
        </w:tc>
      </w:tr>
      <w:tr w:rsidR="00061994" w:rsidRPr="00E34B2B" w14:paraId="148F0B1C" w14:textId="77777777" w:rsidTr="00061994">
        <w:trPr>
          <w:trHeight w:val="259"/>
        </w:trPr>
        <w:tc>
          <w:tcPr>
            <w:tcW w:w="2702" w:type="dxa"/>
            <w:tcBorders>
              <w:top w:val="single" w:sz="4" w:space="0" w:color="auto"/>
              <w:left w:val="single" w:sz="8" w:space="0" w:color="auto"/>
              <w:bottom w:val="nil"/>
              <w:right w:val="nil"/>
            </w:tcBorders>
            <w:shd w:val="clear" w:color="auto" w:fill="auto"/>
            <w:noWrap/>
            <w:vAlign w:val="bottom"/>
          </w:tcPr>
          <w:p w14:paraId="7CAC5BFD" w14:textId="1A12AC98" w:rsidR="00061994" w:rsidRPr="00E34B2B" w:rsidRDefault="00061994" w:rsidP="00061994">
            <w:pPr>
              <w:pStyle w:val="NoSpacing"/>
              <w:rPr>
                <w:b/>
                <w:bCs/>
              </w:rPr>
            </w:pPr>
            <w:r w:rsidRPr="00E34B2B">
              <w:rPr>
                <w:b/>
                <w:bCs/>
              </w:rPr>
              <w:t>Inflation adjustments</w:t>
            </w:r>
          </w:p>
        </w:tc>
        <w:tc>
          <w:tcPr>
            <w:tcW w:w="3408" w:type="dxa"/>
            <w:tcBorders>
              <w:top w:val="single" w:sz="4" w:space="0" w:color="auto"/>
              <w:left w:val="nil"/>
              <w:bottom w:val="nil"/>
              <w:right w:val="single" w:sz="8" w:space="0" w:color="auto"/>
            </w:tcBorders>
            <w:shd w:val="clear" w:color="auto" w:fill="auto"/>
            <w:noWrap/>
            <w:vAlign w:val="bottom"/>
          </w:tcPr>
          <w:p w14:paraId="7B5204CC" w14:textId="77777777" w:rsidR="00061994" w:rsidRPr="00E34B2B" w:rsidRDefault="00061994" w:rsidP="00061994">
            <w:pPr>
              <w:pStyle w:val="NoSpacing"/>
            </w:pPr>
          </w:p>
        </w:tc>
      </w:tr>
      <w:tr w:rsidR="00061994" w:rsidRPr="00E34B2B" w14:paraId="5DC5EE97" w14:textId="77777777" w:rsidTr="00061994">
        <w:trPr>
          <w:trHeight w:val="259"/>
        </w:trPr>
        <w:tc>
          <w:tcPr>
            <w:tcW w:w="2702" w:type="dxa"/>
            <w:tcBorders>
              <w:top w:val="single" w:sz="4" w:space="0" w:color="auto"/>
              <w:left w:val="single" w:sz="8" w:space="0" w:color="auto"/>
              <w:bottom w:val="nil"/>
              <w:right w:val="nil"/>
            </w:tcBorders>
            <w:shd w:val="clear" w:color="auto" w:fill="auto"/>
            <w:noWrap/>
            <w:vAlign w:val="bottom"/>
            <w:hideMark/>
          </w:tcPr>
          <w:p w14:paraId="77C0C413" w14:textId="77777777" w:rsidR="00061994" w:rsidRPr="00E34B2B" w:rsidRDefault="00061994" w:rsidP="00061994">
            <w:pPr>
              <w:pStyle w:val="NoSpacing"/>
            </w:pPr>
            <w:r w:rsidRPr="00E34B2B">
              <w:t>Inflation adjustment</w:t>
            </w:r>
          </w:p>
        </w:tc>
        <w:tc>
          <w:tcPr>
            <w:tcW w:w="3408" w:type="dxa"/>
            <w:tcBorders>
              <w:top w:val="single" w:sz="4" w:space="0" w:color="auto"/>
              <w:left w:val="nil"/>
              <w:bottom w:val="nil"/>
              <w:right w:val="single" w:sz="8" w:space="0" w:color="auto"/>
            </w:tcBorders>
            <w:shd w:val="clear" w:color="auto" w:fill="auto"/>
            <w:noWrap/>
            <w:vAlign w:val="bottom"/>
            <w:hideMark/>
          </w:tcPr>
          <w:p w14:paraId="392F11AD" w14:textId="77777777" w:rsidR="00061994" w:rsidRPr="00E34B2B" w:rsidRDefault="00061994" w:rsidP="00061994">
            <w:pPr>
              <w:pStyle w:val="NoSpacing"/>
            </w:pPr>
            <w:r w:rsidRPr="00E34B2B">
              <w:t>1 USD in 2016 = 1.06 USD in 2019</w:t>
            </w:r>
          </w:p>
        </w:tc>
      </w:tr>
      <w:tr w:rsidR="00061994" w:rsidRPr="00E34B2B" w14:paraId="0B373041" w14:textId="77777777" w:rsidTr="00061994">
        <w:trPr>
          <w:trHeight w:val="259"/>
        </w:trPr>
        <w:tc>
          <w:tcPr>
            <w:tcW w:w="2702" w:type="dxa"/>
            <w:tcBorders>
              <w:top w:val="nil"/>
              <w:left w:val="single" w:sz="8" w:space="0" w:color="auto"/>
              <w:bottom w:val="nil"/>
              <w:right w:val="nil"/>
            </w:tcBorders>
            <w:shd w:val="clear" w:color="auto" w:fill="auto"/>
            <w:noWrap/>
            <w:vAlign w:val="bottom"/>
            <w:hideMark/>
          </w:tcPr>
          <w:p w14:paraId="0D5F0168" w14:textId="77777777" w:rsidR="00061994" w:rsidRPr="00E34B2B" w:rsidRDefault="00061994" w:rsidP="00061994">
            <w:pPr>
              <w:pStyle w:val="NoSpacing"/>
            </w:pPr>
            <w:r w:rsidRPr="00E34B2B">
              <w:t>Inflation adjustment</w:t>
            </w:r>
          </w:p>
        </w:tc>
        <w:tc>
          <w:tcPr>
            <w:tcW w:w="3408" w:type="dxa"/>
            <w:tcBorders>
              <w:top w:val="nil"/>
              <w:left w:val="nil"/>
              <w:bottom w:val="nil"/>
              <w:right w:val="single" w:sz="8" w:space="0" w:color="auto"/>
            </w:tcBorders>
            <w:shd w:val="clear" w:color="auto" w:fill="auto"/>
            <w:noWrap/>
            <w:vAlign w:val="bottom"/>
            <w:hideMark/>
          </w:tcPr>
          <w:p w14:paraId="10C5B180" w14:textId="16AE415C" w:rsidR="00061994" w:rsidRPr="00E34B2B" w:rsidRDefault="00061994" w:rsidP="00061994">
            <w:pPr>
              <w:pStyle w:val="NoSpacing"/>
            </w:pPr>
            <w:r w:rsidRPr="00E34B2B">
              <w:t>1 USD in 2017 = 1.04 USD in 2019</w:t>
            </w:r>
          </w:p>
        </w:tc>
      </w:tr>
      <w:tr w:rsidR="00061994" w:rsidRPr="00E34B2B" w14:paraId="5313C9EE" w14:textId="77777777" w:rsidTr="00061994">
        <w:trPr>
          <w:trHeight w:val="273"/>
        </w:trPr>
        <w:tc>
          <w:tcPr>
            <w:tcW w:w="2702" w:type="dxa"/>
            <w:tcBorders>
              <w:top w:val="nil"/>
              <w:left w:val="single" w:sz="8" w:space="0" w:color="auto"/>
              <w:bottom w:val="single" w:sz="8" w:space="0" w:color="auto"/>
              <w:right w:val="nil"/>
            </w:tcBorders>
            <w:shd w:val="clear" w:color="auto" w:fill="auto"/>
            <w:noWrap/>
            <w:vAlign w:val="bottom"/>
            <w:hideMark/>
          </w:tcPr>
          <w:p w14:paraId="5F42DC4B" w14:textId="77777777" w:rsidR="00061994" w:rsidRPr="00E34B2B" w:rsidRDefault="00061994" w:rsidP="00061994">
            <w:pPr>
              <w:pStyle w:val="NoSpacing"/>
            </w:pPr>
            <w:r w:rsidRPr="00E34B2B">
              <w:t>Inflation adjustment</w:t>
            </w:r>
          </w:p>
        </w:tc>
        <w:tc>
          <w:tcPr>
            <w:tcW w:w="3408" w:type="dxa"/>
            <w:tcBorders>
              <w:top w:val="nil"/>
              <w:left w:val="nil"/>
              <w:bottom w:val="single" w:sz="8" w:space="0" w:color="auto"/>
              <w:right w:val="single" w:sz="8" w:space="0" w:color="000000"/>
            </w:tcBorders>
            <w:shd w:val="clear" w:color="auto" w:fill="auto"/>
            <w:noWrap/>
            <w:vAlign w:val="bottom"/>
            <w:hideMark/>
          </w:tcPr>
          <w:p w14:paraId="230A094E" w14:textId="561B68B1" w:rsidR="00061994" w:rsidRPr="00E34B2B" w:rsidRDefault="00061994" w:rsidP="00061994">
            <w:pPr>
              <w:pStyle w:val="NoSpacing"/>
            </w:pPr>
            <w:r w:rsidRPr="00E34B2B">
              <w:t>1 USD in 2018 = 1.02 USD in 2019</w:t>
            </w:r>
          </w:p>
        </w:tc>
      </w:tr>
    </w:tbl>
    <w:p w14:paraId="5554F94F" w14:textId="1C4BA968" w:rsidR="00DB508D" w:rsidRPr="00E34B2B" w:rsidRDefault="00DB508D" w:rsidP="00DB508D">
      <w:pPr>
        <w:pStyle w:val="Heading1"/>
        <w:rPr>
          <w:rFonts w:ascii="Times New Roman" w:hAnsi="Times New Roman" w:cs="Times New Roman"/>
        </w:rPr>
      </w:pPr>
      <w:r w:rsidRPr="00E34B2B">
        <w:rPr>
          <w:rFonts w:ascii="Times New Roman" w:hAnsi="Times New Roman" w:cs="Times New Roman"/>
        </w:rPr>
        <w:t>Summary calculation methods</w:t>
      </w:r>
    </w:p>
    <w:p w14:paraId="1DAECCAE" w14:textId="7771BC7A" w:rsidR="00DB508D" w:rsidRPr="00E34B2B" w:rsidRDefault="00DB508D" w:rsidP="00DB508D">
      <w:pPr>
        <w:pStyle w:val="Heading2"/>
        <w:rPr>
          <w:rFonts w:ascii="Times New Roman" w:hAnsi="Times New Roman" w:cs="Times New Roman"/>
        </w:rPr>
      </w:pPr>
      <w:r w:rsidRPr="00E34B2B">
        <w:rPr>
          <w:rFonts w:ascii="Times New Roman" w:hAnsi="Times New Roman" w:cs="Times New Roman"/>
        </w:rPr>
        <w:t>Costs to establish services</w:t>
      </w:r>
    </w:p>
    <w:p w14:paraId="61588516" w14:textId="26143EC8" w:rsidR="00DB508D" w:rsidRPr="00E34B2B" w:rsidRDefault="00DB508D" w:rsidP="00DB508D">
      <w:r w:rsidRPr="00E34B2B">
        <w:t>Costs to establish services were generated as a sum of total transaction costs for capital hardware and capital software. Sums of total transaction costs are presented in the summary sheets for each EHS in Supplemental Files 5-11.</w:t>
      </w:r>
    </w:p>
    <w:p w14:paraId="58E44208" w14:textId="6CA8B1B6" w:rsidR="0093317D" w:rsidRPr="00E34B2B" w:rsidRDefault="0093317D" w:rsidP="0093317D">
      <w:pPr>
        <w:pStyle w:val="Heading2"/>
        <w:rPr>
          <w:rFonts w:ascii="Times New Roman" w:hAnsi="Times New Roman" w:cs="Times New Roman"/>
        </w:rPr>
      </w:pPr>
      <w:r w:rsidRPr="00E34B2B">
        <w:rPr>
          <w:rFonts w:ascii="Times New Roman" w:hAnsi="Times New Roman" w:cs="Times New Roman"/>
        </w:rPr>
        <w:t>Annual operations and maintenance costs</w:t>
      </w:r>
    </w:p>
    <w:p w14:paraId="01CA4E44" w14:textId="75BEDF37" w:rsidR="008456D8" w:rsidRPr="00E34B2B" w:rsidRDefault="00881F62" w:rsidP="00881F62">
      <w:r w:rsidRPr="00E34B2B">
        <w:t xml:space="preserve">Annual operations and maintenance costs comprised capital maintenance, recurrent training, consumables, personnel, direct support, and contracted services. </w:t>
      </w:r>
    </w:p>
    <w:p w14:paraId="36862E4D" w14:textId="245D1EAB" w:rsidR="00AA5E69" w:rsidRPr="00E34B2B" w:rsidRDefault="00AA5E69" w:rsidP="00881F62">
      <w:pPr>
        <w:rPr>
          <w:b/>
          <w:bCs/>
        </w:rPr>
      </w:pPr>
      <w:r w:rsidRPr="00E34B2B">
        <w:rPr>
          <w:b/>
          <w:bCs/>
        </w:rPr>
        <w:t>Recurrent training</w:t>
      </w:r>
    </w:p>
    <w:p w14:paraId="7C88E7EF" w14:textId="236E4FB4" w:rsidR="008456D8" w:rsidRPr="00E34B2B" w:rsidRDefault="008456D8" w:rsidP="00881F62">
      <w:r w:rsidRPr="00E34B2B">
        <w:t>We used annual budgets for safety trainings for recurrent training costs. Safety trainings were relevant to four EHS: hygiene, PPE, cleaning, and waste management. While curricula for safety trainings covered all EHS simultaneously, we include the full training costs under each EHS, as each EHS required annual training and costs would not be substantially reduced by removing irrelevant curricula.</w:t>
      </w:r>
    </w:p>
    <w:p w14:paraId="59F46E1A" w14:textId="23FC784E" w:rsidR="00AA5E69" w:rsidRPr="00E34B2B" w:rsidRDefault="00AA5E69" w:rsidP="00881F62">
      <w:pPr>
        <w:rPr>
          <w:b/>
          <w:bCs/>
        </w:rPr>
      </w:pPr>
      <w:r w:rsidRPr="00E34B2B">
        <w:rPr>
          <w:b/>
          <w:bCs/>
        </w:rPr>
        <w:t>Personnel and direct support</w:t>
      </w:r>
    </w:p>
    <w:p w14:paraId="64B0E3F0" w14:textId="790E4346" w:rsidR="00523EEA" w:rsidRPr="00E34B2B" w:rsidRDefault="00881F62" w:rsidP="00881F62">
      <w:r w:rsidRPr="00E34B2B">
        <w:t>Personnel costs were adjusted based on the percent effort dedicated to each EHS (e.g., clinic aides spent an estimated 35% of their working hours per week cleaning, so we allocated 35% of their annual salary to cleaning costs)</w:t>
      </w:r>
      <w:r w:rsidR="00EE60A3" w:rsidRPr="00E34B2B">
        <w:t xml:space="preserve">, using the weights provided in </w:t>
      </w:r>
      <w:r w:rsidR="00EE60A3" w:rsidRPr="00E34B2B">
        <w:fldChar w:fldCharType="begin"/>
      </w:r>
      <w:r w:rsidR="00EE60A3" w:rsidRPr="00E34B2B">
        <w:instrText xml:space="preserve"> REF _Ref42258065 \h </w:instrText>
      </w:r>
      <w:r w:rsidR="00E34B2B">
        <w:instrText xml:space="preserve"> \* MERGEFORMAT </w:instrText>
      </w:r>
      <w:r w:rsidR="00EE60A3" w:rsidRPr="00E34B2B">
        <w:fldChar w:fldCharType="separate"/>
      </w:r>
      <w:r w:rsidR="00EE60A3" w:rsidRPr="00E34B2B">
        <w:t xml:space="preserve">Table </w:t>
      </w:r>
      <w:r w:rsidR="00EE60A3" w:rsidRPr="00E34B2B">
        <w:rPr>
          <w:noProof/>
        </w:rPr>
        <w:t>3</w:t>
      </w:r>
      <w:r w:rsidR="00EE60A3" w:rsidRPr="00E34B2B">
        <w:fldChar w:fldCharType="end"/>
      </w:r>
      <w:r w:rsidR="00EE60A3" w:rsidRPr="00E34B2B">
        <w:t>. Personnel costs for drivers for waste management were calculated in terms of hours per week transporting waste rather than percent effort. Hourly wages were calculated by dividing annual salaries by 251 working days per year and 8 working hours per day.</w:t>
      </w:r>
    </w:p>
    <w:p w14:paraId="5E06A816" w14:textId="09D71971" w:rsidR="00EE60A3" w:rsidRPr="00E34B2B" w:rsidRDefault="00523EEA" w:rsidP="00881F62">
      <w:r w:rsidRPr="00E34B2B">
        <w:t xml:space="preserve">For annual direct support costs, we added </w:t>
      </w:r>
      <w:r w:rsidR="00CB1428">
        <w:t>6</w:t>
      </w:r>
      <w:r w:rsidRPr="00E34B2B">
        <w:t xml:space="preserve">% effort for supervisors, procurement officers, and logistics officers involved in EHS delivery. This cost was divided proportionally across all EHS, with EHS requiring substantial supervision of personnel (i.e., cleaning and waste management) weighed by a factor </w:t>
      </w:r>
      <w:r w:rsidRPr="00E34B2B">
        <w:lastRenderedPageBreak/>
        <w:t>of two</w:t>
      </w:r>
      <w:r w:rsidR="00CB1428">
        <w:t>, i.e., p</w:t>
      </w:r>
      <w:r w:rsidRPr="00E34B2B">
        <w:t xml:space="preserve">ercent effort for water, sanitation, hygiene, PPE, vector control, and laundry: </w:t>
      </w:r>
      <w:r w:rsidR="00DC04E5" w:rsidRPr="00E34B2B">
        <w:t>0.05%</w:t>
      </w:r>
      <w:r w:rsidR="00CB1428">
        <w:t>,</w:t>
      </w:r>
      <w:r w:rsidRPr="00E34B2B">
        <w:t xml:space="preserve"> </w:t>
      </w:r>
      <w:r w:rsidR="00CB1428">
        <w:t>p</w:t>
      </w:r>
      <w:r w:rsidRPr="00E34B2B">
        <w:t xml:space="preserve">ercent effort for waste management and cleaning: </w:t>
      </w:r>
      <w:r w:rsidR="00DC04E5" w:rsidRPr="00E34B2B">
        <w:t>0.1%</w:t>
      </w:r>
    </w:p>
    <w:p w14:paraId="0E1CF09F" w14:textId="7680CA20" w:rsidR="00EE60A3" w:rsidRPr="00E34B2B" w:rsidRDefault="00EE60A3" w:rsidP="00EE60A3">
      <w:pPr>
        <w:pStyle w:val="Caption"/>
        <w:keepNext/>
        <w:spacing w:after="0"/>
        <w:rPr>
          <w:color w:val="auto"/>
          <w:sz w:val="22"/>
          <w:szCs w:val="22"/>
        </w:rPr>
      </w:pPr>
      <w:bookmarkStart w:id="2" w:name="_Ref42258065"/>
      <w:r w:rsidRPr="00E34B2B">
        <w:rPr>
          <w:color w:val="auto"/>
          <w:sz w:val="22"/>
          <w:szCs w:val="22"/>
        </w:rPr>
        <w:t xml:space="preserve">Table </w:t>
      </w:r>
      <w:r w:rsidRPr="00E34B2B">
        <w:rPr>
          <w:color w:val="auto"/>
          <w:sz w:val="22"/>
          <w:szCs w:val="22"/>
        </w:rPr>
        <w:fldChar w:fldCharType="begin"/>
      </w:r>
      <w:r w:rsidRPr="00E34B2B">
        <w:rPr>
          <w:color w:val="auto"/>
          <w:sz w:val="22"/>
          <w:szCs w:val="22"/>
        </w:rPr>
        <w:instrText xml:space="preserve"> SEQ Table \* ARABIC </w:instrText>
      </w:r>
      <w:r w:rsidRPr="00E34B2B">
        <w:rPr>
          <w:color w:val="auto"/>
          <w:sz w:val="22"/>
          <w:szCs w:val="22"/>
        </w:rPr>
        <w:fldChar w:fldCharType="separate"/>
      </w:r>
      <w:r w:rsidRPr="00E34B2B">
        <w:rPr>
          <w:noProof/>
          <w:color w:val="auto"/>
          <w:sz w:val="22"/>
          <w:szCs w:val="22"/>
        </w:rPr>
        <w:t>3</w:t>
      </w:r>
      <w:r w:rsidRPr="00E34B2B">
        <w:rPr>
          <w:color w:val="auto"/>
          <w:sz w:val="22"/>
          <w:szCs w:val="22"/>
        </w:rPr>
        <w:fldChar w:fldCharType="end"/>
      </w:r>
      <w:bookmarkEnd w:id="2"/>
      <w:r w:rsidRPr="00E34B2B">
        <w:rPr>
          <w:color w:val="auto"/>
          <w:sz w:val="22"/>
          <w:szCs w:val="22"/>
        </w:rPr>
        <w:t>. Percent efforts of staff involved in cleaning and waste management</w:t>
      </w:r>
    </w:p>
    <w:tbl>
      <w:tblPr>
        <w:tblStyle w:val="TableGrid"/>
        <w:tblW w:w="0" w:type="auto"/>
        <w:tblInd w:w="-5" w:type="dxa"/>
        <w:tblLook w:val="04A0" w:firstRow="1" w:lastRow="0" w:firstColumn="1" w:lastColumn="0" w:noHBand="0" w:noVBand="1"/>
      </w:tblPr>
      <w:tblGrid>
        <w:gridCol w:w="2452"/>
        <w:gridCol w:w="4797"/>
        <w:gridCol w:w="2106"/>
      </w:tblGrid>
      <w:tr w:rsidR="00EE60A3" w:rsidRPr="00E34B2B" w14:paraId="221F6C50" w14:textId="77777777" w:rsidTr="00EE60A3">
        <w:tc>
          <w:tcPr>
            <w:tcW w:w="0" w:type="auto"/>
            <w:gridSpan w:val="3"/>
          </w:tcPr>
          <w:p w14:paraId="0F53EFB3" w14:textId="77777777" w:rsidR="00EE60A3" w:rsidRPr="00E34B2B" w:rsidRDefault="00EE60A3" w:rsidP="0086728C">
            <w:pPr>
              <w:rPr>
                <w:b/>
                <w:bCs/>
              </w:rPr>
            </w:pPr>
            <w:r w:rsidRPr="00E34B2B">
              <w:rPr>
                <w:b/>
                <w:bCs/>
              </w:rPr>
              <w:t>Cleaning</w:t>
            </w:r>
          </w:p>
        </w:tc>
      </w:tr>
      <w:tr w:rsidR="00EE60A3" w:rsidRPr="00E34B2B" w14:paraId="214271A2" w14:textId="77777777" w:rsidTr="00EE60A3">
        <w:tc>
          <w:tcPr>
            <w:tcW w:w="0" w:type="auto"/>
          </w:tcPr>
          <w:p w14:paraId="2A8AFB13" w14:textId="77777777" w:rsidR="00EE60A3" w:rsidRPr="00E34B2B" w:rsidRDefault="00EE60A3" w:rsidP="0086728C">
            <w:r w:rsidRPr="00E34B2B">
              <w:t>Staff</w:t>
            </w:r>
          </w:p>
        </w:tc>
        <w:tc>
          <w:tcPr>
            <w:tcW w:w="0" w:type="auto"/>
          </w:tcPr>
          <w:p w14:paraId="30CEE2B7" w14:textId="77777777" w:rsidR="00EE60A3" w:rsidRPr="00E34B2B" w:rsidRDefault="00EE60A3" w:rsidP="0086728C">
            <w:r w:rsidRPr="00E34B2B">
              <w:t>Role</w:t>
            </w:r>
          </w:p>
        </w:tc>
        <w:tc>
          <w:tcPr>
            <w:tcW w:w="0" w:type="auto"/>
          </w:tcPr>
          <w:p w14:paraId="0BDC6604" w14:textId="77777777" w:rsidR="00EE60A3" w:rsidRPr="00E34B2B" w:rsidRDefault="00EE60A3" w:rsidP="0086728C">
            <w:r w:rsidRPr="00E34B2B">
              <w:t>% effort of all duties</w:t>
            </w:r>
          </w:p>
        </w:tc>
      </w:tr>
      <w:tr w:rsidR="00EE60A3" w:rsidRPr="00E34B2B" w14:paraId="4F60FBDD" w14:textId="77777777" w:rsidTr="00EE60A3">
        <w:tc>
          <w:tcPr>
            <w:tcW w:w="0" w:type="auto"/>
          </w:tcPr>
          <w:p w14:paraId="0D0E26F3" w14:textId="77777777" w:rsidR="00EE60A3" w:rsidRPr="00E34B2B" w:rsidRDefault="00EE60A3" w:rsidP="0086728C">
            <w:r w:rsidRPr="00E34B2B">
              <w:t>Nurses</w:t>
            </w:r>
          </w:p>
        </w:tc>
        <w:tc>
          <w:tcPr>
            <w:tcW w:w="0" w:type="auto"/>
          </w:tcPr>
          <w:p w14:paraId="72F8FC9C" w14:textId="77777777" w:rsidR="00EE60A3" w:rsidRPr="00E34B2B" w:rsidRDefault="00EE60A3" w:rsidP="0086728C">
            <w:r w:rsidRPr="00E34B2B">
              <w:t>Cleaning specialized equipment</w:t>
            </w:r>
          </w:p>
          <w:p w14:paraId="54FFDFB0" w14:textId="77777777" w:rsidR="00EE60A3" w:rsidRPr="00E34B2B" w:rsidRDefault="00EE60A3" w:rsidP="0086728C">
            <w:r w:rsidRPr="00E34B2B">
              <w:t>Supervision of cleaning</w:t>
            </w:r>
          </w:p>
        </w:tc>
        <w:tc>
          <w:tcPr>
            <w:tcW w:w="0" w:type="auto"/>
          </w:tcPr>
          <w:p w14:paraId="773535E1" w14:textId="77777777" w:rsidR="00EE60A3" w:rsidRPr="00E34B2B" w:rsidRDefault="00EE60A3" w:rsidP="0086728C">
            <w:r w:rsidRPr="00E34B2B">
              <w:t>5%</w:t>
            </w:r>
          </w:p>
        </w:tc>
      </w:tr>
      <w:tr w:rsidR="00EE60A3" w:rsidRPr="00E34B2B" w14:paraId="57033D61" w14:textId="77777777" w:rsidTr="00EE60A3">
        <w:tc>
          <w:tcPr>
            <w:tcW w:w="0" w:type="auto"/>
          </w:tcPr>
          <w:p w14:paraId="56AB2254" w14:textId="77777777" w:rsidR="00EE60A3" w:rsidRPr="00E34B2B" w:rsidRDefault="00EE60A3" w:rsidP="0086728C">
            <w:r w:rsidRPr="00E34B2B">
              <w:t>Laboratory and pharmacy technicians</w:t>
            </w:r>
          </w:p>
        </w:tc>
        <w:tc>
          <w:tcPr>
            <w:tcW w:w="0" w:type="auto"/>
          </w:tcPr>
          <w:p w14:paraId="7E50D092" w14:textId="77777777" w:rsidR="00EE60A3" w:rsidRPr="00E34B2B" w:rsidRDefault="00EE60A3" w:rsidP="0086728C">
            <w:r w:rsidRPr="00E34B2B">
              <w:t>Cleaning specialized equipment</w:t>
            </w:r>
          </w:p>
          <w:p w14:paraId="7D5E6BFE" w14:textId="77777777" w:rsidR="00EE60A3" w:rsidRPr="00E34B2B" w:rsidRDefault="00EE60A3" w:rsidP="0086728C">
            <w:r w:rsidRPr="00E34B2B">
              <w:t>Autoclave operation (lab techs only)</w:t>
            </w:r>
          </w:p>
          <w:p w14:paraId="2A61F253" w14:textId="77777777" w:rsidR="00EE60A3" w:rsidRPr="00E34B2B" w:rsidRDefault="00EE60A3" w:rsidP="0086728C">
            <w:r w:rsidRPr="00E34B2B">
              <w:t>Supervision of cleaning</w:t>
            </w:r>
          </w:p>
        </w:tc>
        <w:tc>
          <w:tcPr>
            <w:tcW w:w="0" w:type="auto"/>
          </w:tcPr>
          <w:p w14:paraId="0A9A2828" w14:textId="77777777" w:rsidR="00EE60A3" w:rsidRPr="00E34B2B" w:rsidRDefault="00EE60A3" w:rsidP="0086728C">
            <w:r w:rsidRPr="00E34B2B">
              <w:t>5%</w:t>
            </w:r>
          </w:p>
        </w:tc>
      </w:tr>
      <w:tr w:rsidR="00EE60A3" w:rsidRPr="00E34B2B" w14:paraId="7347E3A5" w14:textId="77777777" w:rsidTr="00EE60A3">
        <w:tc>
          <w:tcPr>
            <w:tcW w:w="0" w:type="auto"/>
          </w:tcPr>
          <w:p w14:paraId="32568A94" w14:textId="77777777" w:rsidR="00EE60A3" w:rsidRPr="00E34B2B" w:rsidRDefault="00EE60A3" w:rsidP="0086728C">
            <w:r w:rsidRPr="00E34B2B">
              <w:t>Clinic aides</w:t>
            </w:r>
          </w:p>
        </w:tc>
        <w:tc>
          <w:tcPr>
            <w:tcW w:w="0" w:type="auto"/>
          </w:tcPr>
          <w:p w14:paraId="3D0F2F86" w14:textId="77777777" w:rsidR="00EE60A3" w:rsidRPr="00E34B2B" w:rsidRDefault="00EE60A3" w:rsidP="0086728C">
            <w:r w:rsidRPr="00E34B2B">
              <w:t>General cleaning of clinical, pharmacy, and non-clinical spaces</w:t>
            </w:r>
          </w:p>
          <w:p w14:paraId="0A9F06C4" w14:textId="77777777" w:rsidR="00EE60A3" w:rsidRPr="00E34B2B" w:rsidRDefault="00EE60A3" w:rsidP="0086728C">
            <w:r w:rsidRPr="00E34B2B">
              <w:t>Initial processing of equipment for autoclaving</w:t>
            </w:r>
          </w:p>
        </w:tc>
        <w:tc>
          <w:tcPr>
            <w:tcW w:w="0" w:type="auto"/>
          </w:tcPr>
          <w:p w14:paraId="11D353F0" w14:textId="77777777" w:rsidR="00EE60A3" w:rsidRPr="00E34B2B" w:rsidRDefault="00EE60A3" w:rsidP="0086728C">
            <w:r w:rsidRPr="00E34B2B">
              <w:t>35%</w:t>
            </w:r>
          </w:p>
        </w:tc>
      </w:tr>
      <w:tr w:rsidR="00EE60A3" w:rsidRPr="00E34B2B" w14:paraId="1FF1B1CE" w14:textId="77777777" w:rsidTr="00EE60A3">
        <w:tc>
          <w:tcPr>
            <w:tcW w:w="0" w:type="auto"/>
          </w:tcPr>
          <w:p w14:paraId="27F51965" w14:textId="77777777" w:rsidR="00EE60A3" w:rsidRPr="00E34B2B" w:rsidRDefault="00EE60A3" w:rsidP="0086728C">
            <w:r w:rsidRPr="00E34B2B">
              <w:t>Laboratory cleaners</w:t>
            </w:r>
          </w:p>
        </w:tc>
        <w:tc>
          <w:tcPr>
            <w:tcW w:w="0" w:type="auto"/>
          </w:tcPr>
          <w:p w14:paraId="00DBF343" w14:textId="77777777" w:rsidR="00EE60A3" w:rsidRPr="00E34B2B" w:rsidRDefault="00EE60A3" w:rsidP="0086728C">
            <w:r w:rsidRPr="00E34B2B">
              <w:t>General cleaning of laboratory spaces</w:t>
            </w:r>
          </w:p>
          <w:p w14:paraId="11101454" w14:textId="77777777" w:rsidR="00EE60A3" w:rsidRPr="00E34B2B" w:rsidRDefault="00EE60A3" w:rsidP="0086728C">
            <w:r w:rsidRPr="00E34B2B">
              <w:t>Cleaning of glassware and laboratory supplies</w:t>
            </w:r>
          </w:p>
          <w:p w14:paraId="30E89CD4" w14:textId="77777777" w:rsidR="00EE60A3" w:rsidRPr="00E34B2B" w:rsidRDefault="00EE60A3" w:rsidP="0086728C">
            <w:r w:rsidRPr="00E34B2B">
              <w:t>Autoclave operation</w:t>
            </w:r>
          </w:p>
        </w:tc>
        <w:tc>
          <w:tcPr>
            <w:tcW w:w="0" w:type="auto"/>
          </w:tcPr>
          <w:p w14:paraId="66D54CD7" w14:textId="77777777" w:rsidR="00EE60A3" w:rsidRPr="00E34B2B" w:rsidRDefault="00EE60A3" w:rsidP="0086728C">
            <w:r w:rsidRPr="00E34B2B">
              <w:t>70%</w:t>
            </w:r>
          </w:p>
        </w:tc>
      </w:tr>
      <w:tr w:rsidR="00EE60A3" w:rsidRPr="00E34B2B" w14:paraId="08BB8731" w14:textId="77777777" w:rsidTr="00EE60A3">
        <w:tc>
          <w:tcPr>
            <w:tcW w:w="0" w:type="auto"/>
            <w:gridSpan w:val="3"/>
          </w:tcPr>
          <w:p w14:paraId="163EF7F7" w14:textId="77777777" w:rsidR="00EE60A3" w:rsidRPr="00E34B2B" w:rsidRDefault="00EE60A3" w:rsidP="0086728C">
            <w:pPr>
              <w:rPr>
                <w:b/>
                <w:bCs/>
              </w:rPr>
            </w:pPr>
            <w:r w:rsidRPr="00E34B2B">
              <w:rPr>
                <w:b/>
                <w:bCs/>
              </w:rPr>
              <w:t>Waste management</w:t>
            </w:r>
          </w:p>
        </w:tc>
      </w:tr>
      <w:tr w:rsidR="00EE60A3" w:rsidRPr="00E34B2B" w14:paraId="455B6E49" w14:textId="77777777" w:rsidTr="00EE60A3">
        <w:tc>
          <w:tcPr>
            <w:tcW w:w="0" w:type="auto"/>
          </w:tcPr>
          <w:p w14:paraId="1D3E08B8" w14:textId="77777777" w:rsidR="00EE60A3" w:rsidRPr="00E34B2B" w:rsidRDefault="00EE60A3" w:rsidP="0086728C">
            <w:r w:rsidRPr="00E34B2B">
              <w:t>Staff</w:t>
            </w:r>
          </w:p>
        </w:tc>
        <w:tc>
          <w:tcPr>
            <w:tcW w:w="0" w:type="auto"/>
          </w:tcPr>
          <w:p w14:paraId="6FE12ADF" w14:textId="77777777" w:rsidR="00EE60A3" w:rsidRPr="00E34B2B" w:rsidRDefault="00EE60A3" w:rsidP="0086728C">
            <w:r w:rsidRPr="00E34B2B">
              <w:t>Role</w:t>
            </w:r>
          </w:p>
        </w:tc>
        <w:tc>
          <w:tcPr>
            <w:tcW w:w="0" w:type="auto"/>
          </w:tcPr>
          <w:p w14:paraId="2C369769" w14:textId="77777777" w:rsidR="00EE60A3" w:rsidRPr="00E34B2B" w:rsidRDefault="00EE60A3" w:rsidP="0086728C">
            <w:r w:rsidRPr="00E34B2B">
              <w:t>% effort of all duties</w:t>
            </w:r>
          </w:p>
        </w:tc>
      </w:tr>
      <w:tr w:rsidR="00EE60A3" w:rsidRPr="00E34B2B" w14:paraId="5952A726" w14:textId="77777777" w:rsidTr="00EE60A3">
        <w:tc>
          <w:tcPr>
            <w:tcW w:w="0" w:type="auto"/>
          </w:tcPr>
          <w:p w14:paraId="5FA2C9DF" w14:textId="77777777" w:rsidR="00EE60A3" w:rsidRPr="00E34B2B" w:rsidRDefault="00EE60A3" w:rsidP="0086728C">
            <w:r w:rsidRPr="00E34B2B">
              <w:t>Nurses</w:t>
            </w:r>
          </w:p>
        </w:tc>
        <w:tc>
          <w:tcPr>
            <w:tcW w:w="0" w:type="auto"/>
          </w:tcPr>
          <w:p w14:paraId="03276AAC" w14:textId="77777777" w:rsidR="00EE60A3" w:rsidRPr="00E34B2B" w:rsidRDefault="00EE60A3" w:rsidP="0086728C">
            <w:r w:rsidRPr="00E34B2B">
              <w:t>Waste collection and segregation at point of care, Supervision of waste management</w:t>
            </w:r>
          </w:p>
        </w:tc>
        <w:tc>
          <w:tcPr>
            <w:tcW w:w="0" w:type="auto"/>
          </w:tcPr>
          <w:p w14:paraId="1A34093A" w14:textId="77777777" w:rsidR="00EE60A3" w:rsidRPr="00E34B2B" w:rsidRDefault="00EE60A3" w:rsidP="0086728C">
            <w:r w:rsidRPr="00E34B2B">
              <w:t>2%</w:t>
            </w:r>
          </w:p>
        </w:tc>
      </w:tr>
      <w:tr w:rsidR="00EE60A3" w:rsidRPr="00E34B2B" w14:paraId="72AA84C2" w14:textId="77777777" w:rsidTr="00EE60A3">
        <w:tc>
          <w:tcPr>
            <w:tcW w:w="0" w:type="auto"/>
          </w:tcPr>
          <w:p w14:paraId="52E34CAC" w14:textId="77777777" w:rsidR="00EE60A3" w:rsidRPr="00E34B2B" w:rsidRDefault="00EE60A3" w:rsidP="0086728C">
            <w:r w:rsidRPr="00E34B2B">
              <w:t>Laboratory and pharmacy technicians</w:t>
            </w:r>
          </w:p>
        </w:tc>
        <w:tc>
          <w:tcPr>
            <w:tcW w:w="0" w:type="auto"/>
          </w:tcPr>
          <w:p w14:paraId="75014397" w14:textId="77777777" w:rsidR="00EE60A3" w:rsidRPr="00E34B2B" w:rsidRDefault="00EE60A3" w:rsidP="0086728C">
            <w:r w:rsidRPr="00E34B2B">
              <w:t>Waste collection and segregation in laboratory and pharmacy</w:t>
            </w:r>
          </w:p>
          <w:p w14:paraId="4C8AE147" w14:textId="77777777" w:rsidR="00EE60A3" w:rsidRPr="00E34B2B" w:rsidRDefault="00EE60A3" w:rsidP="0086728C">
            <w:r w:rsidRPr="00E34B2B">
              <w:t>Supervision of waste management</w:t>
            </w:r>
          </w:p>
        </w:tc>
        <w:tc>
          <w:tcPr>
            <w:tcW w:w="0" w:type="auto"/>
          </w:tcPr>
          <w:p w14:paraId="06F15084" w14:textId="77777777" w:rsidR="00EE60A3" w:rsidRPr="00E34B2B" w:rsidRDefault="00EE60A3" w:rsidP="0086728C">
            <w:r w:rsidRPr="00E34B2B">
              <w:t>2%</w:t>
            </w:r>
          </w:p>
        </w:tc>
      </w:tr>
      <w:tr w:rsidR="00EE60A3" w:rsidRPr="00E34B2B" w14:paraId="4E26DF5F" w14:textId="77777777" w:rsidTr="00EE60A3">
        <w:tc>
          <w:tcPr>
            <w:tcW w:w="0" w:type="auto"/>
          </w:tcPr>
          <w:p w14:paraId="12B3F825" w14:textId="77777777" w:rsidR="00EE60A3" w:rsidRPr="00E34B2B" w:rsidRDefault="00EE60A3" w:rsidP="0086728C">
            <w:r w:rsidRPr="00E34B2B">
              <w:t>Clinic aides</w:t>
            </w:r>
          </w:p>
        </w:tc>
        <w:tc>
          <w:tcPr>
            <w:tcW w:w="0" w:type="auto"/>
          </w:tcPr>
          <w:p w14:paraId="1D436C0D" w14:textId="77777777" w:rsidR="00EE60A3" w:rsidRPr="00E34B2B" w:rsidRDefault="00EE60A3" w:rsidP="0086728C">
            <w:r w:rsidRPr="00E34B2B">
              <w:t>Waste transportation within-facilities</w:t>
            </w:r>
          </w:p>
          <w:p w14:paraId="3E94E293" w14:textId="77777777" w:rsidR="00EE60A3" w:rsidRPr="00E34B2B" w:rsidRDefault="00EE60A3" w:rsidP="0086728C">
            <w:r w:rsidRPr="00E34B2B">
              <w:t>Storage and autoclave processing</w:t>
            </w:r>
          </w:p>
        </w:tc>
        <w:tc>
          <w:tcPr>
            <w:tcW w:w="0" w:type="auto"/>
          </w:tcPr>
          <w:p w14:paraId="70C4EF8D" w14:textId="77777777" w:rsidR="00EE60A3" w:rsidRPr="00E34B2B" w:rsidRDefault="00EE60A3" w:rsidP="0086728C">
            <w:r w:rsidRPr="00E34B2B">
              <w:t>15%</w:t>
            </w:r>
          </w:p>
        </w:tc>
      </w:tr>
      <w:tr w:rsidR="00EE60A3" w:rsidRPr="00E34B2B" w14:paraId="370487F2" w14:textId="77777777" w:rsidTr="00EE60A3">
        <w:tc>
          <w:tcPr>
            <w:tcW w:w="0" w:type="auto"/>
          </w:tcPr>
          <w:p w14:paraId="44540FC3" w14:textId="77777777" w:rsidR="00EE60A3" w:rsidRPr="00E34B2B" w:rsidRDefault="00EE60A3" w:rsidP="0086728C">
            <w:r w:rsidRPr="00E34B2B">
              <w:t>Laboratory cleaners</w:t>
            </w:r>
          </w:p>
        </w:tc>
        <w:tc>
          <w:tcPr>
            <w:tcW w:w="0" w:type="auto"/>
          </w:tcPr>
          <w:p w14:paraId="67ED73EB" w14:textId="77777777" w:rsidR="00EE60A3" w:rsidRPr="00E34B2B" w:rsidRDefault="00EE60A3" w:rsidP="0086728C">
            <w:r w:rsidRPr="00E34B2B">
              <w:t>Waste collection in the laboratory</w:t>
            </w:r>
          </w:p>
          <w:p w14:paraId="1B84F489" w14:textId="77777777" w:rsidR="00EE60A3" w:rsidRPr="00E34B2B" w:rsidRDefault="00EE60A3" w:rsidP="0086728C">
            <w:r w:rsidRPr="00E34B2B">
              <w:t>Waste transportation within-facilities</w:t>
            </w:r>
          </w:p>
        </w:tc>
        <w:tc>
          <w:tcPr>
            <w:tcW w:w="0" w:type="auto"/>
          </w:tcPr>
          <w:p w14:paraId="56A5F067" w14:textId="77777777" w:rsidR="00EE60A3" w:rsidRPr="00E34B2B" w:rsidRDefault="00EE60A3" w:rsidP="0086728C">
            <w:r w:rsidRPr="00E34B2B">
              <w:t>30%</w:t>
            </w:r>
          </w:p>
        </w:tc>
      </w:tr>
      <w:tr w:rsidR="00EE60A3" w:rsidRPr="00E34B2B" w14:paraId="6429BFE7" w14:textId="77777777" w:rsidTr="00EE60A3">
        <w:tc>
          <w:tcPr>
            <w:tcW w:w="0" w:type="auto"/>
          </w:tcPr>
          <w:p w14:paraId="43E0114D" w14:textId="77777777" w:rsidR="00EE60A3" w:rsidRPr="00E34B2B" w:rsidRDefault="00EE60A3" w:rsidP="0086728C">
            <w:r w:rsidRPr="00E34B2B">
              <w:t>Drivers</w:t>
            </w:r>
          </w:p>
        </w:tc>
        <w:tc>
          <w:tcPr>
            <w:tcW w:w="0" w:type="auto"/>
          </w:tcPr>
          <w:p w14:paraId="06048E45" w14:textId="77777777" w:rsidR="00EE60A3" w:rsidRPr="00E34B2B" w:rsidRDefault="00EE60A3" w:rsidP="0086728C">
            <w:r w:rsidRPr="00E34B2B">
              <w:t>Transportation of waste between facilities</w:t>
            </w:r>
          </w:p>
        </w:tc>
        <w:tc>
          <w:tcPr>
            <w:tcW w:w="0" w:type="auto"/>
          </w:tcPr>
          <w:p w14:paraId="77D291A1" w14:textId="77777777" w:rsidR="00EE60A3" w:rsidRPr="00E34B2B" w:rsidRDefault="00EE60A3" w:rsidP="0086728C">
            <w:r w:rsidRPr="00E34B2B">
              <w:t>2,311 hours of driver time per year</w:t>
            </w:r>
          </w:p>
        </w:tc>
      </w:tr>
    </w:tbl>
    <w:p w14:paraId="4F5BC9A7" w14:textId="41131AA5" w:rsidR="00EE60A3" w:rsidRPr="00E34B2B" w:rsidRDefault="00EE60A3" w:rsidP="00881F62"/>
    <w:p w14:paraId="14F21452" w14:textId="49C4A498" w:rsidR="00AA5E69" w:rsidRPr="00E34B2B" w:rsidRDefault="00AA5E69" w:rsidP="00881F62">
      <w:pPr>
        <w:rPr>
          <w:b/>
          <w:bCs/>
        </w:rPr>
      </w:pPr>
      <w:r w:rsidRPr="00E34B2B">
        <w:rPr>
          <w:b/>
          <w:bCs/>
        </w:rPr>
        <w:t>Capital maintenance, consumables, contracted services</w:t>
      </w:r>
    </w:p>
    <w:p w14:paraId="59516638" w14:textId="3337CBB7" w:rsidR="00EE60A3" w:rsidRPr="00E34B2B" w:rsidRDefault="00EE60A3" w:rsidP="00EE60A3">
      <w:r w:rsidRPr="00E34B2B">
        <w:t>Capital maintenance, consumables, and contracted services costs across all departmental records were weighted based on the number of months of data coverage to calculate average annual costs (</w:t>
      </w:r>
      <w:r w:rsidRPr="00E34B2B">
        <w:fldChar w:fldCharType="begin"/>
      </w:r>
      <w:r w:rsidRPr="00E34B2B">
        <w:instrText xml:space="preserve"> REF _Ref42257506 \h </w:instrText>
      </w:r>
      <w:r w:rsidR="00E34B2B">
        <w:instrText xml:space="preserve"> \* MERGEFORMAT </w:instrText>
      </w:r>
      <w:r w:rsidRPr="00E34B2B">
        <w:fldChar w:fldCharType="separate"/>
      </w:r>
      <w:r w:rsidR="00655522" w:rsidRPr="00E34B2B">
        <w:t xml:space="preserve">Table </w:t>
      </w:r>
      <w:r w:rsidR="00655522" w:rsidRPr="00E34B2B">
        <w:rPr>
          <w:noProof/>
        </w:rPr>
        <w:t>4</w:t>
      </w:r>
      <w:r w:rsidRPr="00E34B2B">
        <w:fldChar w:fldCharType="end"/>
      </w:r>
      <w:r w:rsidRPr="00E34B2B">
        <w:t>).</w:t>
      </w:r>
    </w:p>
    <w:p w14:paraId="0A14581C" w14:textId="77194805" w:rsidR="00881F62" w:rsidRPr="00E34B2B" w:rsidRDefault="00881F62" w:rsidP="00881F62">
      <w:pPr>
        <w:pStyle w:val="Caption"/>
        <w:keepNext/>
        <w:spacing w:after="0"/>
        <w:rPr>
          <w:color w:val="auto"/>
          <w:sz w:val="22"/>
          <w:szCs w:val="22"/>
        </w:rPr>
      </w:pPr>
      <w:bookmarkStart w:id="3" w:name="_Ref42257506"/>
      <w:r w:rsidRPr="00E34B2B">
        <w:rPr>
          <w:color w:val="auto"/>
          <w:sz w:val="22"/>
          <w:szCs w:val="22"/>
        </w:rPr>
        <w:t xml:space="preserve">Table </w:t>
      </w:r>
      <w:r w:rsidRPr="00E34B2B">
        <w:rPr>
          <w:color w:val="auto"/>
          <w:sz w:val="22"/>
          <w:szCs w:val="22"/>
        </w:rPr>
        <w:fldChar w:fldCharType="begin"/>
      </w:r>
      <w:r w:rsidRPr="00E34B2B">
        <w:rPr>
          <w:color w:val="auto"/>
          <w:sz w:val="22"/>
          <w:szCs w:val="22"/>
        </w:rPr>
        <w:instrText xml:space="preserve"> SEQ Table \* ARABIC </w:instrText>
      </w:r>
      <w:r w:rsidRPr="00E34B2B">
        <w:rPr>
          <w:color w:val="auto"/>
          <w:sz w:val="22"/>
          <w:szCs w:val="22"/>
        </w:rPr>
        <w:fldChar w:fldCharType="separate"/>
      </w:r>
      <w:r w:rsidR="00EE60A3" w:rsidRPr="00E34B2B">
        <w:rPr>
          <w:noProof/>
          <w:color w:val="auto"/>
          <w:sz w:val="22"/>
          <w:szCs w:val="22"/>
        </w:rPr>
        <w:t>4</w:t>
      </w:r>
      <w:r w:rsidRPr="00E34B2B">
        <w:rPr>
          <w:color w:val="auto"/>
          <w:sz w:val="22"/>
          <w:szCs w:val="22"/>
        </w:rPr>
        <w:fldChar w:fldCharType="end"/>
      </w:r>
      <w:bookmarkEnd w:id="3"/>
      <w:r w:rsidRPr="00E34B2B">
        <w:rPr>
          <w:color w:val="auto"/>
          <w:sz w:val="22"/>
          <w:szCs w:val="22"/>
        </w:rPr>
        <w:t>. Weights used to annualized costs of operations and maintenance expenses.</w:t>
      </w:r>
    </w:p>
    <w:tbl>
      <w:tblPr>
        <w:tblW w:w="8628" w:type="dxa"/>
        <w:tblLook w:val="04A0" w:firstRow="1" w:lastRow="0" w:firstColumn="1" w:lastColumn="0" w:noHBand="0" w:noVBand="1"/>
      </w:tblPr>
      <w:tblGrid>
        <w:gridCol w:w="3770"/>
        <w:gridCol w:w="2832"/>
        <w:gridCol w:w="2026"/>
      </w:tblGrid>
      <w:tr w:rsidR="0093317D" w:rsidRPr="0093317D" w14:paraId="7EE0B611" w14:textId="77777777" w:rsidTr="0093317D">
        <w:trPr>
          <w:trHeight w:val="296"/>
        </w:trPr>
        <w:tc>
          <w:tcPr>
            <w:tcW w:w="862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8CFD5E" w14:textId="77777777" w:rsidR="0093317D" w:rsidRPr="0093317D" w:rsidRDefault="0093317D" w:rsidP="0093317D">
            <w:pPr>
              <w:spacing w:after="0" w:line="240" w:lineRule="auto"/>
              <w:rPr>
                <w:rFonts w:eastAsia="Times New Roman"/>
                <w:b/>
                <w:bCs/>
                <w:color w:val="000000"/>
              </w:rPr>
            </w:pPr>
            <w:r w:rsidRPr="0093317D">
              <w:rPr>
                <w:rFonts w:eastAsia="Times New Roman"/>
                <w:b/>
                <w:bCs/>
                <w:color w:val="000000"/>
              </w:rPr>
              <w:t>Weights to annualize cost and quantities for operations and maintenance expenses</w:t>
            </w:r>
          </w:p>
        </w:tc>
      </w:tr>
      <w:tr w:rsidR="0093317D" w:rsidRPr="0093317D" w14:paraId="728B364B" w14:textId="77777777" w:rsidTr="0093317D">
        <w:trPr>
          <w:trHeight w:val="296"/>
        </w:trPr>
        <w:tc>
          <w:tcPr>
            <w:tcW w:w="3770" w:type="dxa"/>
            <w:tcBorders>
              <w:top w:val="nil"/>
              <w:left w:val="single" w:sz="8" w:space="0" w:color="auto"/>
              <w:bottom w:val="nil"/>
              <w:right w:val="nil"/>
            </w:tcBorders>
            <w:shd w:val="clear" w:color="auto" w:fill="auto"/>
            <w:noWrap/>
            <w:vAlign w:val="bottom"/>
            <w:hideMark/>
          </w:tcPr>
          <w:p w14:paraId="0DB5AFDA" w14:textId="77777777" w:rsidR="0093317D" w:rsidRPr="0093317D" w:rsidRDefault="0093317D" w:rsidP="0093317D">
            <w:pPr>
              <w:spacing w:after="0" w:line="240" w:lineRule="auto"/>
              <w:rPr>
                <w:rFonts w:eastAsia="Times New Roman"/>
                <w:b/>
                <w:bCs/>
                <w:color w:val="000000"/>
              </w:rPr>
            </w:pPr>
            <w:r w:rsidRPr="0093317D">
              <w:rPr>
                <w:rFonts w:eastAsia="Times New Roman"/>
                <w:b/>
                <w:bCs/>
                <w:color w:val="000000"/>
              </w:rPr>
              <w:t>Data source</w:t>
            </w:r>
          </w:p>
        </w:tc>
        <w:tc>
          <w:tcPr>
            <w:tcW w:w="2832" w:type="dxa"/>
            <w:tcBorders>
              <w:top w:val="nil"/>
              <w:left w:val="nil"/>
              <w:bottom w:val="nil"/>
              <w:right w:val="nil"/>
            </w:tcBorders>
            <w:shd w:val="clear" w:color="auto" w:fill="auto"/>
            <w:noWrap/>
            <w:vAlign w:val="bottom"/>
            <w:hideMark/>
          </w:tcPr>
          <w:p w14:paraId="0E27F379" w14:textId="77777777" w:rsidR="0093317D" w:rsidRPr="0093317D" w:rsidRDefault="0093317D" w:rsidP="0093317D">
            <w:pPr>
              <w:spacing w:after="0" w:line="240" w:lineRule="auto"/>
              <w:rPr>
                <w:rFonts w:eastAsia="Times New Roman"/>
                <w:b/>
                <w:bCs/>
                <w:color w:val="000000"/>
              </w:rPr>
            </w:pPr>
            <w:r w:rsidRPr="0093317D">
              <w:rPr>
                <w:rFonts w:eastAsia="Times New Roman"/>
                <w:b/>
                <w:bCs/>
                <w:color w:val="000000"/>
              </w:rPr>
              <w:t>Months of available data</w:t>
            </w:r>
          </w:p>
        </w:tc>
        <w:tc>
          <w:tcPr>
            <w:tcW w:w="2026" w:type="dxa"/>
            <w:tcBorders>
              <w:top w:val="nil"/>
              <w:left w:val="nil"/>
              <w:bottom w:val="nil"/>
              <w:right w:val="single" w:sz="8" w:space="0" w:color="auto"/>
            </w:tcBorders>
            <w:shd w:val="clear" w:color="auto" w:fill="auto"/>
            <w:noWrap/>
            <w:vAlign w:val="bottom"/>
            <w:hideMark/>
          </w:tcPr>
          <w:p w14:paraId="2DB4220E" w14:textId="77777777" w:rsidR="0093317D" w:rsidRPr="0093317D" w:rsidRDefault="0093317D" w:rsidP="0093317D">
            <w:pPr>
              <w:spacing w:after="0" w:line="240" w:lineRule="auto"/>
              <w:rPr>
                <w:rFonts w:eastAsia="Times New Roman"/>
                <w:b/>
                <w:bCs/>
                <w:color w:val="000000"/>
              </w:rPr>
            </w:pPr>
            <w:r w:rsidRPr="0093317D">
              <w:rPr>
                <w:rFonts w:eastAsia="Times New Roman"/>
                <w:b/>
                <w:bCs/>
                <w:color w:val="000000"/>
              </w:rPr>
              <w:t>Weight</w:t>
            </w:r>
          </w:p>
        </w:tc>
      </w:tr>
      <w:tr w:rsidR="0093317D" w:rsidRPr="0093317D" w14:paraId="5FFE0604" w14:textId="77777777" w:rsidTr="0093317D">
        <w:trPr>
          <w:trHeight w:val="296"/>
        </w:trPr>
        <w:tc>
          <w:tcPr>
            <w:tcW w:w="3770" w:type="dxa"/>
            <w:tcBorders>
              <w:top w:val="nil"/>
              <w:left w:val="single" w:sz="8" w:space="0" w:color="auto"/>
              <w:bottom w:val="nil"/>
              <w:right w:val="nil"/>
            </w:tcBorders>
            <w:shd w:val="clear" w:color="auto" w:fill="auto"/>
            <w:noWrap/>
            <w:hideMark/>
          </w:tcPr>
          <w:p w14:paraId="497364D3" w14:textId="1374D0EE" w:rsidR="0093317D" w:rsidRPr="0093317D" w:rsidRDefault="0093317D" w:rsidP="0093317D">
            <w:pPr>
              <w:pStyle w:val="NoSpacing"/>
              <w:rPr>
                <w:rFonts w:eastAsia="Times New Roman"/>
                <w:color w:val="000000"/>
              </w:rPr>
            </w:pPr>
            <w:r w:rsidRPr="00E34B2B">
              <w:t>Administrative Department</w:t>
            </w:r>
          </w:p>
        </w:tc>
        <w:tc>
          <w:tcPr>
            <w:tcW w:w="2832" w:type="dxa"/>
            <w:tcBorders>
              <w:top w:val="nil"/>
              <w:left w:val="nil"/>
              <w:bottom w:val="nil"/>
              <w:right w:val="nil"/>
            </w:tcBorders>
            <w:shd w:val="clear" w:color="auto" w:fill="auto"/>
            <w:noWrap/>
            <w:vAlign w:val="bottom"/>
            <w:hideMark/>
          </w:tcPr>
          <w:p w14:paraId="6AEFCF30" w14:textId="77777777" w:rsidR="0093317D" w:rsidRPr="0093317D" w:rsidRDefault="0093317D" w:rsidP="0093317D">
            <w:pPr>
              <w:spacing w:after="0" w:line="240" w:lineRule="auto"/>
              <w:rPr>
                <w:rFonts w:eastAsia="Times New Roman"/>
                <w:color w:val="000000"/>
              </w:rPr>
            </w:pPr>
            <w:r w:rsidRPr="0093317D">
              <w:rPr>
                <w:rFonts w:eastAsia="Times New Roman"/>
                <w:color w:val="000000"/>
              </w:rPr>
              <w:t>Dec 16 - May 2018</w:t>
            </w:r>
          </w:p>
        </w:tc>
        <w:tc>
          <w:tcPr>
            <w:tcW w:w="2026" w:type="dxa"/>
            <w:tcBorders>
              <w:top w:val="nil"/>
              <w:left w:val="nil"/>
              <w:bottom w:val="nil"/>
              <w:right w:val="single" w:sz="8" w:space="0" w:color="auto"/>
            </w:tcBorders>
            <w:shd w:val="clear" w:color="auto" w:fill="auto"/>
            <w:noWrap/>
            <w:vAlign w:val="bottom"/>
            <w:hideMark/>
          </w:tcPr>
          <w:p w14:paraId="0CEC4ACB" w14:textId="5750268B" w:rsidR="0093317D" w:rsidRPr="0093317D" w:rsidRDefault="0093317D" w:rsidP="0093317D">
            <w:pPr>
              <w:spacing w:after="0" w:line="240" w:lineRule="auto"/>
              <w:rPr>
                <w:rFonts w:eastAsia="Times New Roman"/>
                <w:color w:val="000000"/>
              </w:rPr>
            </w:pPr>
            <w:r w:rsidRPr="0093317D">
              <w:rPr>
                <w:rFonts w:eastAsia="Times New Roman"/>
                <w:color w:val="000000"/>
              </w:rPr>
              <w:t>0.66</w:t>
            </w:r>
            <w:r w:rsidR="00791863">
              <w:rPr>
                <w:rFonts w:eastAsia="Times New Roman"/>
                <w:color w:val="000000"/>
              </w:rPr>
              <w:t>7</w:t>
            </w:r>
          </w:p>
        </w:tc>
      </w:tr>
      <w:tr w:rsidR="0093317D" w:rsidRPr="0093317D" w14:paraId="750714D9" w14:textId="77777777" w:rsidTr="0093317D">
        <w:trPr>
          <w:trHeight w:val="296"/>
        </w:trPr>
        <w:tc>
          <w:tcPr>
            <w:tcW w:w="3770" w:type="dxa"/>
            <w:tcBorders>
              <w:top w:val="nil"/>
              <w:left w:val="single" w:sz="8" w:space="0" w:color="auto"/>
              <w:bottom w:val="nil"/>
              <w:right w:val="nil"/>
            </w:tcBorders>
            <w:shd w:val="clear" w:color="auto" w:fill="auto"/>
            <w:noWrap/>
            <w:hideMark/>
          </w:tcPr>
          <w:p w14:paraId="2F39B11A" w14:textId="037FE8C5" w:rsidR="0093317D" w:rsidRPr="0093317D" w:rsidRDefault="0093317D" w:rsidP="0093317D">
            <w:pPr>
              <w:spacing w:after="0" w:line="240" w:lineRule="auto"/>
              <w:rPr>
                <w:rFonts w:eastAsia="Times New Roman"/>
                <w:color w:val="000000"/>
              </w:rPr>
            </w:pPr>
            <w:r w:rsidRPr="00E34B2B">
              <w:t xml:space="preserve">General Stores Department </w:t>
            </w:r>
          </w:p>
        </w:tc>
        <w:tc>
          <w:tcPr>
            <w:tcW w:w="2832" w:type="dxa"/>
            <w:tcBorders>
              <w:top w:val="nil"/>
              <w:left w:val="nil"/>
              <w:bottom w:val="nil"/>
              <w:right w:val="nil"/>
            </w:tcBorders>
            <w:shd w:val="clear" w:color="auto" w:fill="auto"/>
            <w:noWrap/>
            <w:vAlign w:val="bottom"/>
            <w:hideMark/>
          </w:tcPr>
          <w:p w14:paraId="534C10A1" w14:textId="77777777" w:rsidR="0093317D" w:rsidRPr="0093317D" w:rsidRDefault="0093317D" w:rsidP="0093317D">
            <w:pPr>
              <w:spacing w:after="0" w:line="240" w:lineRule="auto"/>
              <w:rPr>
                <w:rFonts w:eastAsia="Times New Roman"/>
                <w:color w:val="000000"/>
              </w:rPr>
            </w:pPr>
            <w:r w:rsidRPr="0093317D">
              <w:rPr>
                <w:rFonts w:eastAsia="Times New Roman"/>
                <w:color w:val="000000"/>
              </w:rPr>
              <w:t>Jan 16 - Dec 17</w:t>
            </w:r>
          </w:p>
        </w:tc>
        <w:tc>
          <w:tcPr>
            <w:tcW w:w="2026" w:type="dxa"/>
            <w:tcBorders>
              <w:top w:val="nil"/>
              <w:left w:val="nil"/>
              <w:bottom w:val="nil"/>
              <w:right w:val="single" w:sz="8" w:space="0" w:color="auto"/>
            </w:tcBorders>
            <w:shd w:val="clear" w:color="auto" w:fill="auto"/>
            <w:noWrap/>
            <w:vAlign w:val="bottom"/>
            <w:hideMark/>
          </w:tcPr>
          <w:p w14:paraId="2826D6B1" w14:textId="77777777" w:rsidR="0093317D" w:rsidRPr="0093317D" w:rsidRDefault="0093317D" w:rsidP="0093317D">
            <w:pPr>
              <w:spacing w:after="0" w:line="240" w:lineRule="auto"/>
              <w:rPr>
                <w:rFonts w:eastAsia="Times New Roman"/>
                <w:color w:val="000000"/>
              </w:rPr>
            </w:pPr>
            <w:r w:rsidRPr="0093317D">
              <w:rPr>
                <w:rFonts w:eastAsia="Times New Roman"/>
                <w:color w:val="000000"/>
              </w:rPr>
              <w:t>0.5</w:t>
            </w:r>
          </w:p>
        </w:tc>
      </w:tr>
      <w:tr w:rsidR="0093317D" w:rsidRPr="0093317D" w14:paraId="6568E81D" w14:textId="77777777" w:rsidTr="0093317D">
        <w:trPr>
          <w:trHeight w:val="296"/>
        </w:trPr>
        <w:tc>
          <w:tcPr>
            <w:tcW w:w="3770" w:type="dxa"/>
            <w:tcBorders>
              <w:top w:val="nil"/>
              <w:left w:val="single" w:sz="8" w:space="0" w:color="auto"/>
              <w:bottom w:val="nil"/>
              <w:right w:val="nil"/>
            </w:tcBorders>
            <w:shd w:val="clear" w:color="auto" w:fill="auto"/>
            <w:noWrap/>
            <w:hideMark/>
          </w:tcPr>
          <w:p w14:paraId="2BB7ACCA" w14:textId="050603DC" w:rsidR="0093317D" w:rsidRPr="0093317D" w:rsidRDefault="0093317D" w:rsidP="0093317D">
            <w:pPr>
              <w:spacing w:after="0" w:line="240" w:lineRule="auto"/>
              <w:rPr>
                <w:rFonts w:eastAsia="Times New Roman"/>
                <w:color w:val="000000"/>
              </w:rPr>
            </w:pPr>
            <w:r w:rsidRPr="00E34B2B">
              <w:t>Pharmacy Department</w:t>
            </w:r>
          </w:p>
        </w:tc>
        <w:tc>
          <w:tcPr>
            <w:tcW w:w="2832" w:type="dxa"/>
            <w:tcBorders>
              <w:top w:val="nil"/>
              <w:left w:val="nil"/>
              <w:bottom w:val="nil"/>
              <w:right w:val="nil"/>
            </w:tcBorders>
            <w:shd w:val="clear" w:color="auto" w:fill="auto"/>
            <w:noWrap/>
            <w:vAlign w:val="bottom"/>
            <w:hideMark/>
          </w:tcPr>
          <w:p w14:paraId="406C80D9" w14:textId="77777777" w:rsidR="0093317D" w:rsidRPr="0093317D" w:rsidRDefault="0093317D" w:rsidP="0093317D">
            <w:pPr>
              <w:spacing w:after="0" w:line="240" w:lineRule="auto"/>
              <w:rPr>
                <w:rFonts w:eastAsia="Times New Roman"/>
                <w:color w:val="000000"/>
              </w:rPr>
            </w:pPr>
            <w:r w:rsidRPr="0093317D">
              <w:rPr>
                <w:rFonts w:eastAsia="Times New Roman"/>
                <w:color w:val="000000"/>
              </w:rPr>
              <w:t>Oct 17 - June 18</w:t>
            </w:r>
          </w:p>
        </w:tc>
        <w:tc>
          <w:tcPr>
            <w:tcW w:w="2026" w:type="dxa"/>
            <w:tcBorders>
              <w:top w:val="nil"/>
              <w:left w:val="nil"/>
              <w:bottom w:val="nil"/>
              <w:right w:val="single" w:sz="8" w:space="0" w:color="auto"/>
            </w:tcBorders>
            <w:shd w:val="clear" w:color="auto" w:fill="auto"/>
            <w:noWrap/>
            <w:vAlign w:val="bottom"/>
            <w:hideMark/>
          </w:tcPr>
          <w:p w14:paraId="1D97D8E7" w14:textId="38E3901E" w:rsidR="0093317D" w:rsidRPr="0093317D" w:rsidRDefault="0093317D" w:rsidP="0093317D">
            <w:pPr>
              <w:spacing w:after="0" w:line="240" w:lineRule="auto"/>
              <w:rPr>
                <w:rFonts w:eastAsia="Times New Roman"/>
                <w:color w:val="000000"/>
              </w:rPr>
            </w:pPr>
            <w:r w:rsidRPr="0093317D">
              <w:rPr>
                <w:rFonts w:eastAsia="Times New Roman"/>
                <w:color w:val="000000"/>
              </w:rPr>
              <w:t>1.333</w:t>
            </w:r>
          </w:p>
        </w:tc>
      </w:tr>
      <w:tr w:rsidR="0093317D" w:rsidRPr="0093317D" w14:paraId="08A14A72" w14:textId="77777777" w:rsidTr="0093317D">
        <w:trPr>
          <w:trHeight w:val="311"/>
        </w:trPr>
        <w:tc>
          <w:tcPr>
            <w:tcW w:w="3770" w:type="dxa"/>
            <w:tcBorders>
              <w:top w:val="nil"/>
              <w:left w:val="single" w:sz="8" w:space="0" w:color="auto"/>
              <w:bottom w:val="single" w:sz="8" w:space="0" w:color="auto"/>
              <w:right w:val="nil"/>
            </w:tcBorders>
            <w:shd w:val="clear" w:color="auto" w:fill="auto"/>
            <w:noWrap/>
            <w:hideMark/>
          </w:tcPr>
          <w:p w14:paraId="049D8458" w14:textId="6127132C" w:rsidR="0093317D" w:rsidRPr="0093317D" w:rsidRDefault="0093317D" w:rsidP="0093317D">
            <w:pPr>
              <w:spacing w:after="0" w:line="240" w:lineRule="auto"/>
              <w:rPr>
                <w:rFonts w:eastAsia="Times New Roman"/>
                <w:color w:val="000000"/>
              </w:rPr>
            </w:pPr>
            <w:r w:rsidRPr="00E34B2B">
              <w:t>Laboratory Department</w:t>
            </w:r>
          </w:p>
        </w:tc>
        <w:tc>
          <w:tcPr>
            <w:tcW w:w="2832" w:type="dxa"/>
            <w:tcBorders>
              <w:top w:val="nil"/>
              <w:left w:val="nil"/>
              <w:bottom w:val="single" w:sz="8" w:space="0" w:color="auto"/>
              <w:right w:val="nil"/>
            </w:tcBorders>
            <w:shd w:val="clear" w:color="auto" w:fill="auto"/>
            <w:noWrap/>
            <w:vAlign w:val="bottom"/>
            <w:hideMark/>
          </w:tcPr>
          <w:p w14:paraId="29EAD559" w14:textId="77777777" w:rsidR="0093317D" w:rsidRPr="0093317D" w:rsidRDefault="0093317D" w:rsidP="0093317D">
            <w:pPr>
              <w:spacing w:after="0" w:line="240" w:lineRule="auto"/>
              <w:rPr>
                <w:rFonts w:eastAsia="Times New Roman"/>
                <w:color w:val="000000"/>
              </w:rPr>
            </w:pPr>
            <w:r w:rsidRPr="0093317D">
              <w:rPr>
                <w:rFonts w:eastAsia="Times New Roman"/>
                <w:color w:val="000000"/>
              </w:rPr>
              <w:t>Dec 16 - May 2018</w:t>
            </w:r>
          </w:p>
        </w:tc>
        <w:tc>
          <w:tcPr>
            <w:tcW w:w="2026" w:type="dxa"/>
            <w:tcBorders>
              <w:top w:val="nil"/>
              <w:left w:val="nil"/>
              <w:bottom w:val="single" w:sz="8" w:space="0" w:color="auto"/>
              <w:right w:val="single" w:sz="8" w:space="0" w:color="auto"/>
            </w:tcBorders>
            <w:shd w:val="clear" w:color="auto" w:fill="auto"/>
            <w:noWrap/>
            <w:vAlign w:val="bottom"/>
            <w:hideMark/>
          </w:tcPr>
          <w:p w14:paraId="310785B5" w14:textId="15568ED0" w:rsidR="0093317D" w:rsidRPr="0093317D" w:rsidRDefault="0093317D" w:rsidP="0093317D">
            <w:pPr>
              <w:spacing w:after="0" w:line="240" w:lineRule="auto"/>
              <w:rPr>
                <w:rFonts w:eastAsia="Times New Roman"/>
                <w:color w:val="000000"/>
              </w:rPr>
            </w:pPr>
            <w:r w:rsidRPr="0093317D">
              <w:rPr>
                <w:rFonts w:eastAsia="Times New Roman"/>
                <w:color w:val="000000"/>
              </w:rPr>
              <w:t>0.66</w:t>
            </w:r>
            <w:r w:rsidR="00791863">
              <w:rPr>
                <w:rFonts w:eastAsia="Times New Roman"/>
                <w:color w:val="000000"/>
              </w:rPr>
              <w:t>7</w:t>
            </w:r>
          </w:p>
        </w:tc>
      </w:tr>
    </w:tbl>
    <w:p w14:paraId="2CBA377A" w14:textId="26F720B1" w:rsidR="0093317D" w:rsidRPr="00E34B2B" w:rsidRDefault="0093317D" w:rsidP="0093317D"/>
    <w:p w14:paraId="34EF372A" w14:textId="2B0F6F68" w:rsidR="00AA5E69" w:rsidRDefault="00655522" w:rsidP="00881F62">
      <w:r w:rsidRPr="00E34B2B">
        <w:lastRenderedPageBreak/>
        <w:t>Waste management had additional costs associated with vehicle operations and maintenance for transport, which we estimated using a method described by Crocker et al.</w:t>
      </w:r>
      <w:r w:rsidRPr="00E34B2B">
        <w:rPr>
          <w:rStyle w:val="FootnoteReference"/>
        </w:rPr>
        <w:footnoteReference w:id="3"/>
      </w:r>
      <w:r w:rsidRPr="00E34B2B">
        <w:t xml:space="preserve"> Briefly, we used the street addresses of facilities in the UNC Project Malawi network to calculate distances between facilities where waste was generated and stored, using open source mapping software.</w:t>
      </w:r>
      <w:r w:rsidRPr="00E34B2B">
        <w:rPr>
          <w:rStyle w:val="FootnoteReference"/>
        </w:rPr>
        <w:footnoteReference w:id="4"/>
      </w:r>
      <w:r w:rsidRPr="00E34B2B">
        <w:t xml:space="preserve"> Total distances traveled were per year were calculated based on</w:t>
      </w:r>
      <w:r w:rsidR="00AA5E69" w:rsidRPr="00E34B2B">
        <w:t xml:space="preserve"> distances</w:t>
      </w:r>
      <w:r w:rsidRPr="00E34B2B">
        <w:t xml:space="preserve"> </w:t>
      </w:r>
      <w:r w:rsidR="00AA5E69" w:rsidRPr="00E34B2B">
        <w:t xml:space="preserve">between facilities </w:t>
      </w:r>
      <w:r w:rsidRPr="00E34B2B">
        <w:t xml:space="preserve">reported frequencies of waste transportation trips, </w:t>
      </w:r>
      <w:r w:rsidR="00AA5E69" w:rsidRPr="00E34B2B">
        <w:t>as reported in</w:t>
      </w:r>
      <w:r w:rsidRPr="00E34B2B">
        <w:t xml:space="preserve"> interviews with the head nurse.</w:t>
      </w:r>
      <w:r w:rsidR="00AA5E69" w:rsidRPr="00E34B2B">
        <w:t xml:space="preserve"> Capital maintenance costs for waste transportation vehicles were calculated based on American Automobile Association rates of USD 0.813 per mile for maintenance and tire costs, with 8284.73 miles driven per year.</w:t>
      </w:r>
      <w:r w:rsidR="006A1318">
        <w:t xml:space="preserve"> These costs include retail parts and labor for routine maintenance specified by the vehicle manufacturer, a comprehensive warranty, repairs to wear-and-tear items that require service during five years of operation, and one set of replacement tires.</w:t>
      </w:r>
      <w:r w:rsidR="00AA5E69" w:rsidRPr="00E34B2B">
        <w:rPr>
          <w:rStyle w:val="FootnoteReference"/>
        </w:rPr>
        <w:footnoteReference w:id="5"/>
      </w:r>
      <w:r w:rsidR="00AA5E69" w:rsidRPr="00E34B2B">
        <w:t xml:space="preserve"> Consumables for waste transportation fuel were calculated based on fuel economy rates for a 2013 Toyota Hilux</w:t>
      </w:r>
      <w:r w:rsidR="000A0F32">
        <w:t>,</w:t>
      </w:r>
      <w:r w:rsidR="00AA5E69" w:rsidRPr="00E34B2B">
        <w:rPr>
          <w:rStyle w:val="FootnoteReference"/>
        </w:rPr>
        <w:footnoteReference w:id="6"/>
      </w:r>
      <w:r w:rsidR="00AA5E69" w:rsidRPr="00E34B2B">
        <w:t xml:space="preserve"> annual miles driven, and fuel prices at the time of study adjusted for inflation to 2019.</w:t>
      </w:r>
    </w:p>
    <w:p w14:paraId="242D320F" w14:textId="38FB6EA3" w:rsidR="00AA5E69" w:rsidRPr="00E34B2B" w:rsidRDefault="00AA5E69" w:rsidP="00881F62">
      <w:pPr>
        <w:rPr>
          <w:b/>
          <w:bCs/>
        </w:rPr>
      </w:pPr>
      <w:r w:rsidRPr="00E34B2B">
        <w:rPr>
          <w:b/>
          <w:bCs/>
        </w:rPr>
        <w:t>Annualized costs for capital hardware</w:t>
      </w:r>
    </w:p>
    <w:p w14:paraId="5C4B9202" w14:textId="7E8F0BE9" w:rsidR="00881F62" w:rsidRPr="00E34B2B" w:rsidRDefault="00881F62" w:rsidP="00881F62">
      <w:r w:rsidRPr="00E34B2B">
        <w:t>We classified cleaning tools and waste bins as capital hardware, but found that these items were purchased frequently, suggesting that they may also be considered consumables costs. For these items, we also calculated an annualized cost</w:t>
      </w:r>
      <w:r w:rsidR="00AA5E69" w:rsidRPr="00E34B2B">
        <w:t xml:space="preserve">, using the weights provided in </w:t>
      </w:r>
      <w:r w:rsidR="00AA5E69" w:rsidRPr="00E34B2B">
        <w:fldChar w:fldCharType="begin"/>
      </w:r>
      <w:r w:rsidR="00AA5E69" w:rsidRPr="00E34B2B">
        <w:instrText xml:space="preserve"> REF _Ref42257506 \h </w:instrText>
      </w:r>
      <w:r w:rsidR="00E34B2B">
        <w:instrText xml:space="preserve"> \* MERGEFORMAT </w:instrText>
      </w:r>
      <w:r w:rsidR="00AA5E69" w:rsidRPr="00E34B2B">
        <w:fldChar w:fldCharType="separate"/>
      </w:r>
      <w:r w:rsidR="00AA5E69" w:rsidRPr="00E34B2B">
        <w:t xml:space="preserve">Table </w:t>
      </w:r>
      <w:r w:rsidR="00AA5E69" w:rsidRPr="00E34B2B">
        <w:rPr>
          <w:noProof/>
        </w:rPr>
        <w:t>4</w:t>
      </w:r>
      <w:r w:rsidR="00AA5E69" w:rsidRPr="00E34B2B">
        <w:fldChar w:fldCharType="end"/>
      </w:r>
      <w:r w:rsidR="00AA5E69" w:rsidRPr="00E34B2B">
        <w:t xml:space="preserve">. </w:t>
      </w:r>
      <w:r w:rsidR="00BE7476" w:rsidRPr="00E34B2B">
        <w:t>In Supplemental Information files 5-11 presented detailed costs per EHS, s</w:t>
      </w:r>
      <w:r w:rsidR="00AA5E69" w:rsidRPr="00E34B2B">
        <w:t>ummary sheets for total costs to establish services</w:t>
      </w:r>
      <w:r w:rsidR="00BE7476" w:rsidRPr="00E34B2B">
        <w:t xml:space="preserve"> use unweighted values, as a simple sum of all observed expenses. Capital hardware tabs also present annualized costs.</w:t>
      </w:r>
    </w:p>
    <w:p w14:paraId="15E3B962" w14:textId="77777777" w:rsidR="00881F62" w:rsidRPr="00E34B2B" w:rsidRDefault="00881F62" w:rsidP="0093317D"/>
    <w:sectPr w:rsidR="00881F62" w:rsidRPr="00E34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0074" w14:textId="77777777" w:rsidR="00FD3FF0" w:rsidRDefault="00FD3FF0" w:rsidP="00061994">
      <w:r>
        <w:separator/>
      </w:r>
    </w:p>
  </w:endnote>
  <w:endnote w:type="continuationSeparator" w:id="0">
    <w:p w14:paraId="00C6413D" w14:textId="77777777" w:rsidR="00FD3FF0" w:rsidRDefault="00FD3FF0" w:rsidP="0006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E9A9" w14:textId="77777777" w:rsidR="00FD3FF0" w:rsidRDefault="00FD3FF0" w:rsidP="00061994">
      <w:r>
        <w:separator/>
      </w:r>
    </w:p>
  </w:footnote>
  <w:footnote w:type="continuationSeparator" w:id="0">
    <w:p w14:paraId="0D79D1EA" w14:textId="77777777" w:rsidR="00FD3FF0" w:rsidRDefault="00FD3FF0" w:rsidP="00061994">
      <w:r>
        <w:continuationSeparator/>
      </w:r>
    </w:p>
  </w:footnote>
  <w:footnote w:id="1">
    <w:p w14:paraId="40453765" w14:textId="5B9AE424" w:rsidR="00061994" w:rsidRPr="000A0F32" w:rsidRDefault="00061994" w:rsidP="00061994">
      <w:pPr>
        <w:pStyle w:val="FootnoteText"/>
        <w:rPr>
          <w:sz w:val="18"/>
          <w:szCs w:val="18"/>
        </w:rPr>
      </w:pPr>
      <w:r w:rsidRPr="000A0F32">
        <w:rPr>
          <w:rStyle w:val="FootnoteReference"/>
          <w:sz w:val="18"/>
          <w:szCs w:val="18"/>
        </w:rPr>
        <w:footnoteRef/>
      </w:r>
      <w:r w:rsidRPr="000A0F32">
        <w:rPr>
          <w:sz w:val="18"/>
          <w:szCs w:val="18"/>
        </w:rPr>
        <w:t xml:space="preserve"> </w:t>
      </w:r>
      <w:hyperlink r:id="rId1" w:history="1">
        <w:r w:rsidRPr="000A0F32">
          <w:rPr>
            <w:rStyle w:val="Hyperlink"/>
            <w:sz w:val="18"/>
            <w:szCs w:val="18"/>
          </w:rPr>
          <w:t>https://www.xe.com/currencyconverter/convert/?Amount=1&amp;From=USD&amp;To=MWK</w:t>
        </w:r>
      </w:hyperlink>
    </w:p>
  </w:footnote>
  <w:footnote w:id="2">
    <w:p w14:paraId="01D6E956" w14:textId="4FA9ACAB" w:rsidR="00061994" w:rsidRPr="000A0F32" w:rsidRDefault="00061994" w:rsidP="00061994">
      <w:pPr>
        <w:pStyle w:val="FootnoteText"/>
        <w:rPr>
          <w:sz w:val="18"/>
          <w:szCs w:val="18"/>
        </w:rPr>
      </w:pPr>
      <w:r w:rsidRPr="000A0F32">
        <w:rPr>
          <w:rStyle w:val="FootnoteReference"/>
          <w:sz w:val="18"/>
          <w:szCs w:val="18"/>
        </w:rPr>
        <w:footnoteRef/>
      </w:r>
      <w:r w:rsidRPr="000A0F32">
        <w:rPr>
          <w:sz w:val="18"/>
          <w:szCs w:val="18"/>
        </w:rPr>
        <w:t xml:space="preserve"> </w:t>
      </w:r>
      <w:hyperlink r:id="rId2" w:history="1">
        <w:r w:rsidRPr="000A0F32">
          <w:rPr>
            <w:rStyle w:val="Hyperlink"/>
            <w:sz w:val="18"/>
            <w:szCs w:val="18"/>
          </w:rPr>
          <w:t>https://fred.stlouisfed.org/series/FPCPITOTLZGUSA</w:t>
        </w:r>
      </w:hyperlink>
    </w:p>
  </w:footnote>
  <w:footnote w:id="3">
    <w:p w14:paraId="6256563F" w14:textId="166C6054" w:rsidR="00655522" w:rsidRPr="000A0F32" w:rsidRDefault="00655522" w:rsidP="00655522">
      <w:pPr>
        <w:pStyle w:val="EndNoteBibliography"/>
        <w:spacing w:after="0"/>
        <w:ind w:left="720" w:hanging="720"/>
        <w:rPr>
          <w:sz w:val="18"/>
          <w:szCs w:val="18"/>
        </w:rPr>
      </w:pPr>
      <w:r w:rsidRPr="000A0F32">
        <w:rPr>
          <w:rStyle w:val="FootnoteReference"/>
          <w:sz w:val="18"/>
          <w:szCs w:val="18"/>
        </w:rPr>
        <w:footnoteRef/>
      </w:r>
      <w:r w:rsidRPr="000A0F32">
        <w:rPr>
          <w:sz w:val="18"/>
          <w:szCs w:val="18"/>
        </w:rPr>
        <w:t xml:space="preserve"> Crocker, J., et al., </w:t>
      </w:r>
      <w:r w:rsidRPr="000A0F32">
        <w:rPr>
          <w:i/>
          <w:sz w:val="18"/>
          <w:szCs w:val="18"/>
        </w:rPr>
        <w:t>The true costs of participatory sanitation: Evidence from community-led total sanitation studies in Ghana and Ethiopia.</w:t>
      </w:r>
      <w:r w:rsidRPr="000A0F32">
        <w:rPr>
          <w:sz w:val="18"/>
          <w:szCs w:val="18"/>
        </w:rPr>
        <w:t xml:space="preserve"> Sci Total Environ, 2017. </w:t>
      </w:r>
      <w:r w:rsidRPr="000A0F32">
        <w:rPr>
          <w:b/>
          <w:sz w:val="18"/>
          <w:szCs w:val="18"/>
        </w:rPr>
        <w:t>601-602</w:t>
      </w:r>
      <w:r w:rsidRPr="000A0F32">
        <w:rPr>
          <w:sz w:val="18"/>
          <w:szCs w:val="18"/>
        </w:rPr>
        <w:t>: p. 1075-1083.</w:t>
      </w:r>
    </w:p>
  </w:footnote>
  <w:footnote w:id="4">
    <w:p w14:paraId="65D3E360" w14:textId="749351F5" w:rsidR="00655522" w:rsidRPr="000A0F32" w:rsidRDefault="00655522">
      <w:pPr>
        <w:pStyle w:val="FootnoteText"/>
        <w:rPr>
          <w:sz w:val="18"/>
          <w:szCs w:val="18"/>
        </w:rPr>
      </w:pPr>
      <w:r w:rsidRPr="000A0F32">
        <w:rPr>
          <w:rStyle w:val="FootnoteReference"/>
          <w:sz w:val="18"/>
          <w:szCs w:val="18"/>
        </w:rPr>
        <w:footnoteRef/>
      </w:r>
      <w:r w:rsidRPr="000A0F32">
        <w:rPr>
          <w:sz w:val="18"/>
          <w:szCs w:val="18"/>
        </w:rPr>
        <w:t xml:space="preserve"> Open street map. </w:t>
      </w:r>
      <w:hyperlink r:id="rId3" w:anchor="map=4/38.01/-95.84" w:history="1">
        <w:r w:rsidRPr="000A0F32">
          <w:rPr>
            <w:rStyle w:val="Hyperlink"/>
            <w:sz w:val="18"/>
            <w:szCs w:val="18"/>
          </w:rPr>
          <w:t>https://www.openstreetmap.org/#map=4/38.01/-95.84</w:t>
        </w:r>
      </w:hyperlink>
    </w:p>
  </w:footnote>
  <w:footnote w:id="5">
    <w:p w14:paraId="0EAADED2" w14:textId="669DF943" w:rsidR="00AA5E69" w:rsidRPr="000A0F32" w:rsidRDefault="00AA5E69">
      <w:pPr>
        <w:pStyle w:val="FootnoteText"/>
        <w:rPr>
          <w:sz w:val="18"/>
          <w:szCs w:val="18"/>
        </w:rPr>
      </w:pPr>
      <w:r w:rsidRPr="000A0F32">
        <w:rPr>
          <w:rStyle w:val="FootnoteReference"/>
          <w:sz w:val="18"/>
          <w:szCs w:val="18"/>
        </w:rPr>
        <w:footnoteRef/>
      </w:r>
      <w:r w:rsidRPr="000A0F32">
        <w:rPr>
          <w:sz w:val="18"/>
          <w:szCs w:val="18"/>
        </w:rPr>
        <w:t xml:space="preserve">  American Automobile Association. (2018) How much does it cost to drive? https://exchange.aaa.com/automotive/driving-costs/.</w:t>
      </w:r>
    </w:p>
  </w:footnote>
  <w:footnote w:id="6">
    <w:p w14:paraId="5C296FBB" w14:textId="2284B2F8" w:rsidR="00AA5E69" w:rsidRPr="000A0F32" w:rsidRDefault="00AA5E69" w:rsidP="00AA5E69">
      <w:pPr>
        <w:rPr>
          <w:rFonts w:eastAsia="Times New Roman"/>
          <w:color w:val="000000"/>
          <w:sz w:val="18"/>
          <w:szCs w:val="18"/>
        </w:rPr>
      </w:pPr>
      <w:r w:rsidRPr="000A0F32">
        <w:rPr>
          <w:rStyle w:val="FootnoteReference"/>
          <w:sz w:val="18"/>
          <w:szCs w:val="18"/>
        </w:rPr>
        <w:footnoteRef/>
      </w:r>
      <w:r w:rsidRPr="000A0F32">
        <w:rPr>
          <w:sz w:val="18"/>
          <w:szCs w:val="18"/>
        </w:rPr>
        <w:t xml:space="preserve"> </w:t>
      </w:r>
      <w:r w:rsidR="000A0F32">
        <w:rPr>
          <w:sz w:val="18"/>
          <w:szCs w:val="18"/>
        </w:rPr>
        <w:t xml:space="preserve">Fuelly. (2020). </w:t>
      </w:r>
      <w:r w:rsidRPr="000A0F32">
        <w:rPr>
          <w:rFonts w:eastAsia="Times New Roman"/>
          <w:color w:val="000000"/>
          <w:sz w:val="18"/>
          <w:szCs w:val="18"/>
        </w:rPr>
        <w:t>http://www.fuelly.com/car/toyota/hilux/2013</w:t>
      </w:r>
    </w:p>
    <w:p w14:paraId="5C4D4FB5" w14:textId="20E38D3D" w:rsidR="00AA5E69" w:rsidRPr="000A0F32" w:rsidRDefault="00AA5E69">
      <w:pPr>
        <w:pStyle w:val="FootnoteText"/>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88"/>
    <w:rsid w:val="00012EC0"/>
    <w:rsid w:val="00061994"/>
    <w:rsid w:val="000A0F32"/>
    <w:rsid w:val="00153CF8"/>
    <w:rsid w:val="00316E71"/>
    <w:rsid w:val="00326DE8"/>
    <w:rsid w:val="00523EEA"/>
    <w:rsid w:val="00655522"/>
    <w:rsid w:val="006A1318"/>
    <w:rsid w:val="00731C8F"/>
    <w:rsid w:val="0078696C"/>
    <w:rsid w:val="00791863"/>
    <w:rsid w:val="008456D8"/>
    <w:rsid w:val="00881F62"/>
    <w:rsid w:val="008849A4"/>
    <w:rsid w:val="00886851"/>
    <w:rsid w:val="00932F64"/>
    <w:rsid w:val="0093317D"/>
    <w:rsid w:val="00AA5E69"/>
    <w:rsid w:val="00B40504"/>
    <w:rsid w:val="00BE7476"/>
    <w:rsid w:val="00C5700D"/>
    <w:rsid w:val="00CB1428"/>
    <w:rsid w:val="00DB508D"/>
    <w:rsid w:val="00DC04E5"/>
    <w:rsid w:val="00E34B2B"/>
    <w:rsid w:val="00E80F88"/>
    <w:rsid w:val="00EE60A3"/>
    <w:rsid w:val="00F13A80"/>
    <w:rsid w:val="00FD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3EDE"/>
  <w15:chartTrackingRefBased/>
  <w15:docId w15:val="{F40C49DB-38D1-41A7-9A8D-73C76801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4"/>
    <w:rPr>
      <w:rFonts w:ascii="Times New Roman" w:hAnsi="Times New Roman" w:cs="Times New Roman"/>
    </w:rPr>
  </w:style>
  <w:style w:type="paragraph" w:styleId="Heading1">
    <w:name w:val="heading 1"/>
    <w:basedOn w:val="Normal"/>
    <w:next w:val="Normal"/>
    <w:link w:val="Heading1Char"/>
    <w:uiPriority w:val="9"/>
    <w:qFormat/>
    <w:rsid w:val="00326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D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DE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2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E8"/>
    <w:rPr>
      <w:rFonts w:ascii="Segoe UI" w:hAnsi="Segoe UI" w:cs="Segoe UI"/>
      <w:sz w:val="18"/>
      <w:szCs w:val="18"/>
    </w:rPr>
  </w:style>
  <w:style w:type="table" w:styleId="TableGrid">
    <w:name w:val="Table Grid"/>
    <w:basedOn w:val="TableNormal"/>
    <w:uiPriority w:val="39"/>
    <w:rsid w:val="0032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6DE8"/>
    <w:pPr>
      <w:spacing w:after="200" w:line="240" w:lineRule="auto"/>
    </w:pPr>
    <w:rPr>
      <w:i/>
      <w:iCs/>
      <w:color w:val="44546A" w:themeColor="text2"/>
      <w:sz w:val="18"/>
      <w:szCs w:val="18"/>
    </w:rPr>
  </w:style>
  <w:style w:type="paragraph" w:styleId="NoSpacing">
    <w:name w:val="No Spacing"/>
    <w:uiPriority w:val="1"/>
    <w:qFormat/>
    <w:rsid w:val="00326DE8"/>
    <w:pPr>
      <w:spacing w:after="0" w:line="240" w:lineRule="auto"/>
    </w:pPr>
    <w:rPr>
      <w:rFonts w:ascii="Times New Roman" w:hAnsi="Times New Roman" w:cs="Times New Roman"/>
    </w:rPr>
  </w:style>
  <w:style w:type="character" w:customStyle="1" w:styleId="Heading2Char">
    <w:name w:val="Heading 2 Char"/>
    <w:basedOn w:val="DefaultParagraphFont"/>
    <w:link w:val="Heading2"/>
    <w:uiPriority w:val="9"/>
    <w:rsid w:val="00326DE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61994"/>
    <w:rPr>
      <w:color w:val="0000FF"/>
      <w:u w:val="single"/>
    </w:rPr>
  </w:style>
  <w:style w:type="paragraph" w:styleId="FootnoteText">
    <w:name w:val="footnote text"/>
    <w:basedOn w:val="Normal"/>
    <w:link w:val="FootnoteTextChar"/>
    <w:uiPriority w:val="99"/>
    <w:unhideWhenUsed/>
    <w:rsid w:val="00061994"/>
    <w:pPr>
      <w:spacing w:after="0" w:line="240" w:lineRule="auto"/>
    </w:pPr>
    <w:rPr>
      <w:sz w:val="20"/>
      <w:szCs w:val="20"/>
    </w:rPr>
  </w:style>
  <w:style w:type="character" w:customStyle="1" w:styleId="FootnoteTextChar">
    <w:name w:val="Footnote Text Char"/>
    <w:basedOn w:val="DefaultParagraphFont"/>
    <w:link w:val="FootnoteText"/>
    <w:uiPriority w:val="99"/>
    <w:rsid w:val="00061994"/>
    <w:rPr>
      <w:sz w:val="20"/>
      <w:szCs w:val="20"/>
    </w:rPr>
  </w:style>
  <w:style w:type="character" w:styleId="FootnoteReference">
    <w:name w:val="footnote reference"/>
    <w:basedOn w:val="DefaultParagraphFont"/>
    <w:uiPriority w:val="99"/>
    <w:semiHidden/>
    <w:unhideWhenUsed/>
    <w:rsid w:val="00061994"/>
    <w:rPr>
      <w:vertAlign w:val="superscript"/>
    </w:rPr>
  </w:style>
  <w:style w:type="paragraph" w:styleId="Title">
    <w:name w:val="Title"/>
    <w:basedOn w:val="Normal"/>
    <w:next w:val="Normal"/>
    <w:link w:val="TitleChar"/>
    <w:uiPriority w:val="10"/>
    <w:qFormat/>
    <w:rsid w:val="00153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C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8D"/>
    <w:rPr>
      <w:rFonts w:ascii="Times New Roman" w:hAnsi="Times New Roman" w:cs="Times New Roman"/>
    </w:rPr>
  </w:style>
  <w:style w:type="paragraph" w:styleId="Footer">
    <w:name w:val="footer"/>
    <w:basedOn w:val="Normal"/>
    <w:link w:val="FooterChar"/>
    <w:uiPriority w:val="99"/>
    <w:unhideWhenUsed/>
    <w:rsid w:val="00DB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8D"/>
    <w:rPr>
      <w:rFonts w:ascii="Times New Roman" w:hAnsi="Times New Roman" w:cs="Times New Roman"/>
    </w:rPr>
  </w:style>
  <w:style w:type="character" w:styleId="CommentReference">
    <w:name w:val="annotation reference"/>
    <w:basedOn w:val="DefaultParagraphFont"/>
    <w:uiPriority w:val="99"/>
    <w:semiHidden/>
    <w:unhideWhenUsed/>
    <w:rsid w:val="00881F62"/>
    <w:rPr>
      <w:sz w:val="16"/>
      <w:szCs w:val="16"/>
    </w:rPr>
  </w:style>
  <w:style w:type="paragraph" w:styleId="CommentText">
    <w:name w:val="annotation text"/>
    <w:basedOn w:val="Normal"/>
    <w:link w:val="CommentTextChar"/>
    <w:uiPriority w:val="99"/>
    <w:unhideWhenUsed/>
    <w:rsid w:val="00881F62"/>
    <w:pPr>
      <w:spacing w:line="240" w:lineRule="auto"/>
    </w:pPr>
    <w:rPr>
      <w:sz w:val="20"/>
      <w:szCs w:val="20"/>
    </w:rPr>
  </w:style>
  <w:style w:type="character" w:customStyle="1" w:styleId="CommentTextChar">
    <w:name w:val="Comment Text Char"/>
    <w:basedOn w:val="DefaultParagraphFont"/>
    <w:link w:val="CommentText"/>
    <w:uiPriority w:val="99"/>
    <w:rsid w:val="00881F62"/>
    <w:rPr>
      <w:rFonts w:ascii="Times New Roman" w:hAnsi="Times New Roman" w:cs="Times New Roman"/>
      <w:sz w:val="20"/>
      <w:szCs w:val="20"/>
    </w:rPr>
  </w:style>
  <w:style w:type="paragraph" w:customStyle="1" w:styleId="EndNoteBibliography">
    <w:name w:val="EndNote Bibliography"/>
    <w:basedOn w:val="Normal"/>
    <w:link w:val="EndNoteBibliographyChar"/>
    <w:rsid w:val="00655522"/>
    <w:pPr>
      <w:spacing w:line="240" w:lineRule="auto"/>
    </w:pPr>
    <w:rPr>
      <w:noProof/>
    </w:rPr>
  </w:style>
  <w:style w:type="character" w:customStyle="1" w:styleId="EndNoteBibliographyChar">
    <w:name w:val="EndNote Bibliography Char"/>
    <w:basedOn w:val="DefaultParagraphFont"/>
    <w:link w:val="EndNoteBibliography"/>
    <w:rsid w:val="00655522"/>
    <w:rPr>
      <w:rFonts w:ascii="Times New Roman" w:hAnsi="Times New Roman" w:cs="Times New Roman"/>
      <w:noProof/>
    </w:rPr>
  </w:style>
  <w:style w:type="character" w:styleId="UnresolvedMention">
    <w:name w:val="Unresolved Mention"/>
    <w:basedOn w:val="DefaultParagraphFont"/>
    <w:uiPriority w:val="99"/>
    <w:semiHidden/>
    <w:unhideWhenUsed/>
    <w:rsid w:val="00655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6710">
      <w:bodyDiv w:val="1"/>
      <w:marLeft w:val="0"/>
      <w:marRight w:val="0"/>
      <w:marTop w:val="0"/>
      <w:marBottom w:val="0"/>
      <w:divBdr>
        <w:top w:val="none" w:sz="0" w:space="0" w:color="auto"/>
        <w:left w:val="none" w:sz="0" w:space="0" w:color="auto"/>
        <w:bottom w:val="none" w:sz="0" w:space="0" w:color="auto"/>
        <w:right w:val="none" w:sz="0" w:space="0" w:color="auto"/>
      </w:divBdr>
    </w:div>
    <w:div w:id="1113138477">
      <w:bodyDiv w:val="1"/>
      <w:marLeft w:val="0"/>
      <w:marRight w:val="0"/>
      <w:marTop w:val="0"/>
      <w:marBottom w:val="0"/>
      <w:divBdr>
        <w:top w:val="none" w:sz="0" w:space="0" w:color="auto"/>
        <w:left w:val="none" w:sz="0" w:space="0" w:color="auto"/>
        <w:bottom w:val="none" w:sz="0" w:space="0" w:color="auto"/>
        <w:right w:val="none" w:sz="0" w:space="0" w:color="auto"/>
      </w:divBdr>
    </w:div>
    <w:div w:id="11632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openstreetmap.org/" TargetMode="External"/><Relationship Id="rId2" Type="http://schemas.openxmlformats.org/officeDocument/2006/relationships/hyperlink" Target="https://fred.stlouisfed.org/series/FPCPITOTLZGUSA" TargetMode="External"/><Relationship Id="rId1" Type="http://schemas.openxmlformats.org/officeDocument/2006/relationships/hyperlink" Target="https://www.xe.com/currencyconverter/convert/?Amount=1&amp;From=USD&amp;To=M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960-9000-4A07-ABCA-89F66378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Anderson</dc:creator>
  <cp:keywords/>
  <dc:description/>
  <cp:lastModifiedBy>Darcy Anderson</cp:lastModifiedBy>
  <cp:revision>20</cp:revision>
  <dcterms:created xsi:type="dcterms:W3CDTF">2020-05-28T17:45:00Z</dcterms:created>
  <dcterms:modified xsi:type="dcterms:W3CDTF">2020-07-21T20:29:00Z</dcterms:modified>
</cp:coreProperties>
</file>