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DD" w:rsidRPr="006C1F74" w:rsidRDefault="00C54FDD" w:rsidP="00C54FDD">
      <w:pPr>
        <w:spacing w:line="480" w:lineRule="auto"/>
        <w:rPr>
          <w:rFonts w:ascii="Times New Roman" w:hAnsi="Times New Roman"/>
          <w:b/>
          <w:bCs/>
          <w:color w:val="000000"/>
          <w:sz w:val="24"/>
          <w:szCs w:val="24"/>
          <w:lang w:val="en-US"/>
        </w:rPr>
      </w:pPr>
      <w:r w:rsidRPr="001E0021">
        <w:rPr>
          <w:rFonts w:ascii="Times New Roman" w:hAnsi="Times New Roman"/>
          <w:b/>
          <w:bCs/>
          <w:color w:val="000000"/>
          <w:sz w:val="24"/>
          <w:szCs w:val="24"/>
          <w:lang w:val="en-US"/>
        </w:rPr>
        <w:t>APPENDIX / SUPPLEMENTARY TABLE</w:t>
      </w:r>
      <w:r>
        <w:rPr>
          <w:rFonts w:ascii="Times New Roman" w:hAnsi="Times New Roman"/>
          <w:b/>
          <w:bCs/>
          <w:color w:val="000000"/>
          <w:sz w:val="24"/>
          <w:szCs w:val="24"/>
          <w:lang w:val="en-US"/>
        </w:rPr>
        <w:t>S</w:t>
      </w:r>
    </w:p>
    <w:p w:rsidR="00C54FDD" w:rsidRDefault="00C54FDD" w:rsidP="00C54FDD">
      <w:pPr>
        <w:spacing w:line="480" w:lineRule="auto"/>
        <w:jc w:val="both"/>
        <w:rPr>
          <w:rFonts w:ascii="Times New Roman" w:hAnsi="Times New Roman"/>
          <w:sz w:val="24"/>
          <w:szCs w:val="24"/>
        </w:rPr>
      </w:pPr>
      <w:r w:rsidRPr="00A75A87">
        <w:rPr>
          <w:rFonts w:ascii="Times New Roman" w:hAnsi="Times New Roman"/>
          <w:sz w:val="24"/>
          <w:szCs w:val="24"/>
        </w:rPr>
        <w:t xml:space="preserve">Supplemental Table 1.  Summary of whole blood </w:t>
      </w:r>
      <w:r>
        <w:rPr>
          <w:rFonts w:ascii="Times New Roman" w:hAnsi="Times New Roman"/>
          <w:sz w:val="24"/>
          <w:szCs w:val="24"/>
        </w:rPr>
        <w:t xml:space="preserve">and urine </w:t>
      </w:r>
      <w:r w:rsidRPr="00A75A87">
        <w:rPr>
          <w:rFonts w:ascii="Times New Roman" w:hAnsi="Times New Roman"/>
          <w:sz w:val="24"/>
          <w:szCs w:val="24"/>
        </w:rPr>
        <w:t xml:space="preserve">elemental biomarker quality control measures.  The limit of detection (values reported as µg/L) was calculated as the mean value of several blank samples plus 3x the standard deviation of the mean.  Accuracy (closeness to actual value) and precision (reproducibility) of each element was determined by use of certified blood reference materials (numbers 1314, 1505, 1506) </w:t>
      </w:r>
      <w:r>
        <w:rPr>
          <w:rFonts w:ascii="Times New Roman" w:hAnsi="Times New Roman"/>
          <w:sz w:val="24"/>
          <w:szCs w:val="24"/>
        </w:rPr>
        <w:t xml:space="preserve">and urine reference material (1109) </w:t>
      </w:r>
      <w:r w:rsidRPr="00A75A87">
        <w:rPr>
          <w:rFonts w:ascii="Times New Roman" w:hAnsi="Times New Roman"/>
          <w:sz w:val="24"/>
          <w:szCs w:val="24"/>
        </w:rPr>
        <w:t xml:space="preserve">obtained from the </w:t>
      </w:r>
      <w:proofErr w:type="spellStart"/>
      <w:r w:rsidRPr="00A75A87">
        <w:rPr>
          <w:rFonts w:ascii="Times New Roman" w:hAnsi="Times New Roman"/>
          <w:sz w:val="24"/>
          <w:szCs w:val="24"/>
        </w:rPr>
        <w:t>Institut</w:t>
      </w:r>
      <w:proofErr w:type="spellEnd"/>
      <w:r w:rsidRPr="00A75A87">
        <w:rPr>
          <w:rFonts w:ascii="Times New Roman" w:hAnsi="Times New Roman"/>
          <w:sz w:val="24"/>
          <w:szCs w:val="24"/>
        </w:rPr>
        <w:t xml:space="preserve"> National de Santé </w:t>
      </w:r>
      <w:proofErr w:type="spellStart"/>
      <w:r w:rsidRPr="00A75A87">
        <w:rPr>
          <w:rFonts w:ascii="Times New Roman" w:hAnsi="Times New Roman"/>
          <w:sz w:val="24"/>
          <w:szCs w:val="24"/>
        </w:rPr>
        <w:t>Publique</w:t>
      </w:r>
      <w:proofErr w:type="spellEnd"/>
      <w:r w:rsidRPr="00A75A87">
        <w:rPr>
          <w:rFonts w:ascii="Times New Roman" w:hAnsi="Times New Roman"/>
          <w:sz w:val="24"/>
          <w:szCs w:val="24"/>
        </w:rPr>
        <w:t xml:space="preserve"> du Québec (INSPQ).  </w:t>
      </w:r>
    </w:p>
    <w:p w:rsidR="00EB2769" w:rsidRDefault="00EB2769" w:rsidP="00C54FDD">
      <w:pPr>
        <w:spacing w:line="480" w:lineRule="auto"/>
        <w:jc w:val="both"/>
        <w:rPr>
          <w:rFonts w:ascii="Times New Roman" w:hAnsi="Times New Roman"/>
          <w:sz w:val="24"/>
          <w:szCs w:val="24"/>
        </w:rPr>
      </w:pPr>
    </w:p>
    <w:p w:rsidR="00C54FDD" w:rsidRPr="00DF135F" w:rsidRDefault="00C54FDD" w:rsidP="00C54FDD">
      <w:pPr>
        <w:jc w:val="both"/>
        <w:rPr>
          <w:rFonts w:ascii="Times New Roman" w:hAnsi="Times New Roman"/>
          <w:sz w:val="24"/>
          <w:szCs w:val="24"/>
        </w:rPr>
      </w:pPr>
      <w:r>
        <w:rPr>
          <w:rFonts w:ascii="Times New Roman" w:hAnsi="Times New Roman"/>
          <w:sz w:val="24"/>
          <w:szCs w:val="24"/>
        </w:rPr>
        <w:t xml:space="preserve">Table S1: </w:t>
      </w:r>
      <w:r w:rsidRPr="007163C7">
        <w:rPr>
          <w:rFonts w:ascii="Times New Roman" w:hAnsi="Times New Roman"/>
          <w:sz w:val="24"/>
        </w:rPr>
        <w:t>Summary of elemental biomarker quality control measures</w:t>
      </w:r>
    </w:p>
    <w:tbl>
      <w:tblPr>
        <w:tblStyle w:val="TableGrid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C54FDD" w:rsidRPr="00DF135F" w:rsidTr="008B7D89">
        <w:tc>
          <w:tcPr>
            <w:tcW w:w="1803" w:type="dxa"/>
            <w:tcBorders>
              <w:top w:val="single" w:sz="4" w:space="0" w:color="auto"/>
              <w:bottom w:val="single" w:sz="4" w:space="0" w:color="auto"/>
            </w:tcBorders>
          </w:tcPr>
          <w:p w:rsidR="00C54FDD" w:rsidRPr="00DF135F" w:rsidRDefault="00C54FDD" w:rsidP="008B7D89">
            <w:r w:rsidRPr="00DF135F">
              <w:rPr>
                <w:rFonts w:ascii="Times New Roman" w:eastAsia="Times New Roman" w:hAnsi="Times New Roman"/>
                <w:bCs/>
                <w:color w:val="000000"/>
                <w:sz w:val="24"/>
                <w:szCs w:val="24"/>
                <w:lang w:val="en-CA"/>
              </w:rPr>
              <w:t>Biomarker</w:t>
            </w:r>
          </w:p>
        </w:tc>
        <w:tc>
          <w:tcPr>
            <w:tcW w:w="1803" w:type="dxa"/>
            <w:tcBorders>
              <w:top w:val="single" w:sz="4" w:space="0" w:color="auto"/>
              <w:bottom w:val="single" w:sz="4" w:space="0" w:color="auto"/>
            </w:tcBorders>
          </w:tcPr>
          <w:p w:rsidR="00C54FDD" w:rsidRPr="00DF135F" w:rsidRDefault="00C54FDD" w:rsidP="008B7D89">
            <w:r w:rsidRPr="00DF135F">
              <w:rPr>
                <w:rFonts w:ascii="Times New Roman" w:eastAsia="Times New Roman" w:hAnsi="Times New Roman"/>
                <w:bCs/>
                <w:color w:val="000000"/>
                <w:sz w:val="24"/>
                <w:szCs w:val="24"/>
                <w:lang w:val="en-CA"/>
              </w:rPr>
              <w:t>Element</w:t>
            </w:r>
          </w:p>
        </w:tc>
        <w:tc>
          <w:tcPr>
            <w:tcW w:w="1803" w:type="dxa"/>
            <w:tcBorders>
              <w:top w:val="single" w:sz="4" w:space="0" w:color="auto"/>
              <w:bottom w:val="single" w:sz="4" w:space="0" w:color="auto"/>
            </w:tcBorders>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bCs/>
                <w:color w:val="000000"/>
                <w:sz w:val="24"/>
                <w:szCs w:val="24"/>
                <w:lang w:val="en-CA"/>
              </w:rPr>
              <w:t>Detection Limit (</w:t>
            </w:r>
            <w:proofErr w:type="spellStart"/>
            <w:r w:rsidRPr="00DF135F">
              <w:rPr>
                <w:rFonts w:ascii="Times New Roman" w:eastAsia="Times New Roman" w:hAnsi="Times New Roman"/>
                <w:bCs/>
                <w:color w:val="000000"/>
                <w:sz w:val="24"/>
                <w:szCs w:val="24"/>
                <w:lang w:val="en-CA"/>
              </w:rPr>
              <w:t>ug</w:t>
            </w:r>
            <w:proofErr w:type="spellEnd"/>
            <w:r w:rsidRPr="00DF135F">
              <w:rPr>
                <w:rFonts w:ascii="Times New Roman" w:eastAsia="Times New Roman" w:hAnsi="Times New Roman"/>
                <w:bCs/>
                <w:color w:val="000000"/>
                <w:sz w:val="24"/>
                <w:szCs w:val="24"/>
                <w:lang w:val="en-CA"/>
              </w:rPr>
              <w:t>/L)</w:t>
            </w:r>
          </w:p>
        </w:tc>
        <w:tc>
          <w:tcPr>
            <w:tcW w:w="1803" w:type="dxa"/>
            <w:tcBorders>
              <w:top w:val="single" w:sz="4" w:space="0" w:color="auto"/>
              <w:bottom w:val="single" w:sz="4" w:space="0" w:color="auto"/>
            </w:tcBorders>
          </w:tcPr>
          <w:p w:rsidR="00C54FDD" w:rsidRPr="00DF135F" w:rsidRDefault="00C54FDD" w:rsidP="008B7D89">
            <w:r w:rsidRPr="00DF135F">
              <w:rPr>
                <w:rFonts w:ascii="Times New Roman" w:eastAsia="Times New Roman" w:hAnsi="Times New Roman"/>
                <w:bCs/>
                <w:color w:val="000000"/>
                <w:sz w:val="24"/>
                <w:szCs w:val="24"/>
                <w:lang w:val="en-CA"/>
              </w:rPr>
              <w:t>Precision</w:t>
            </w:r>
          </w:p>
        </w:tc>
        <w:tc>
          <w:tcPr>
            <w:tcW w:w="1804" w:type="dxa"/>
            <w:tcBorders>
              <w:top w:val="single" w:sz="4" w:space="0" w:color="auto"/>
              <w:bottom w:val="single" w:sz="4" w:space="0" w:color="auto"/>
            </w:tcBorders>
          </w:tcPr>
          <w:p w:rsidR="00C54FDD" w:rsidRPr="00DF135F" w:rsidRDefault="00C54FDD" w:rsidP="008B7D89">
            <w:r w:rsidRPr="00DF135F">
              <w:rPr>
                <w:rFonts w:ascii="Times New Roman" w:eastAsia="Times New Roman" w:hAnsi="Times New Roman"/>
                <w:bCs/>
                <w:color w:val="000000"/>
                <w:sz w:val="24"/>
                <w:szCs w:val="24"/>
                <w:lang w:val="en-CA"/>
              </w:rPr>
              <w:t>Accuracy</w:t>
            </w:r>
          </w:p>
        </w:tc>
      </w:tr>
      <w:tr w:rsidR="00C54FDD" w:rsidRPr="00DF135F" w:rsidTr="008B7D89">
        <w:tc>
          <w:tcPr>
            <w:tcW w:w="1803" w:type="dxa"/>
            <w:vMerge w:val="restart"/>
            <w:tcBorders>
              <w:top w:val="single" w:sz="4" w:space="0" w:color="auto"/>
            </w:tcBorders>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color w:val="000000"/>
                <w:sz w:val="24"/>
                <w:szCs w:val="24"/>
                <w:lang w:val="en-CA"/>
              </w:rPr>
              <w:t>Blood heavy metals</w:t>
            </w:r>
          </w:p>
        </w:tc>
        <w:tc>
          <w:tcPr>
            <w:tcW w:w="1803" w:type="dxa"/>
            <w:tcBorders>
              <w:top w:val="single" w:sz="4" w:space="0" w:color="auto"/>
            </w:tcBorders>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bCs/>
                <w:color w:val="000000"/>
                <w:sz w:val="24"/>
                <w:szCs w:val="24"/>
                <w:lang w:val="en-CA"/>
              </w:rPr>
              <w:t>Cd</w:t>
            </w:r>
          </w:p>
        </w:tc>
        <w:tc>
          <w:tcPr>
            <w:tcW w:w="1803" w:type="dxa"/>
            <w:tcBorders>
              <w:top w:val="single" w:sz="4" w:space="0" w:color="auto"/>
            </w:tcBorders>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bCs/>
                <w:color w:val="000000"/>
                <w:sz w:val="24"/>
                <w:szCs w:val="24"/>
                <w:lang w:val="en-CA"/>
              </w:rPr>
              <w:t>0.3</w:t>
            </w:r>
          </w:p>
        </w:tc>
        <w:tc>
          <w:tcPr>
            <w:tcW w:w="1803" w:type="dxa"/>
            <w:tcBorders>
              <w:top w:val="single" w:sz="4" w:space="0" w:color="auto"/>
            </w:tcBorders>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bCs/>
                <w:color w:val="000000"/>
                <w:sz w:val="24"/>
                <w:szCs w:val="24"/>
                <w:lang w:val="en-CA"/>
              </w:rPr>
              <w:t>21%</w:t>
            </w:r>
          </w:p>
        </w:tc>
        <w:tc>
          <w:tcPr>
            <w:tcW w:w="1804" w:type="dxa"/>
            <w:tcBorders>
              <w:top w:val="single" w:sz="4" w:space="0" w:color="auto"/>
            </w:tcBorders>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bCs/>
                <w:color w:val="000000"/>
                <w:sz w:val="24"/>
                <w:szCs w:val="24"/>
                <w:lang w:val="en-CA"/>
              </w:rPr>
              <w:t>119%</w:t>
            </w:r>
          </w:p>
        </w:tc>
      </w:tr>
      <w:tr w:rsidR="00C54FDD" w:rsidRPr="00DF135F" w:rsidTr="008B7D89">
        <w:tc>
          <w:tcPr>
            <w:tcW w:w="1803" w:type="dxa"/>
            <w:vMerge/>
            <w:tcBorders>
              <w:bottom w:val="single" w:sz="4" w:space="0" w:color="auto"/>
            </w:tcBorders>
          </w:tcPr>
          <w:p w:rsidR="00C54FDD" w:rsidRPr="00DF135F" w:rsidRDefault="00C54FDD" w:rsidP="008B7D89">
            <w:pPr>
              <w:rPr>
                <w:rFonts w:ascii="Times New Roman" w:eastAsia="Times New Roman" w:hAnsi="Times New Roman"/>
                <w:color w:val="000000"/>
                <w:sz w:val="24"/>
                <w:szCs w:val="24"/>
                <w:lang w:val="en-CA"/>
              </w:rPr>
            </w:pPr>
          </w:p>
        </w:tc>
        <w:tc>
          <w:tcPr>
            <w:tcW w:w="1803" w:type="dxa"/>
            <w:tcBorders>
              <w:bottom w:val="single" w:sz="4" w:space="0" w:color="auto"/>
            </w:tcBorders>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bCs/>
                <w:color w:val="000000"/>
                <w:sz w:val="24"/>
                <w:szCs w:val="24"/>
                <w:lang w:val="en-CA"/>
              </w:rPr>
              <w:t>Pb</w:t>
            </w:r>
          </w:p>
        </w:tc>
        <w:tc>
          <w:tcPr>
            <w:tcW w:w="1803" w:type="dxa"/>
            <w:tcBorders>
              <w:bottom w:val="single" w:sz="4" w:space="0" w:color="auto"/>
            </w:tcBorders>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bCs/>
                <w:color w:val="000000"/>
                <w:sz w:val="24"/>
                <w:szCs w:val="24"/>
                <w:lang w:val="en-CA"/>
              </w:rPr>
              <w:t>7.1</w:t>
            </w:r>
          </w:p>
        </w:tc>
        <w:tc>
          <w:tcPr>
            <w:tcW w:w="1803" w:type="dxa"/>
            <w:tcBorders>
              <w:bottom w:val="single" w:sz="4" w:space="0" w:color="auto"/>
            </w:tcBorders>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bCs/>
                <w:color w:val="000000"/>
                <w:sz w:val="24"/>
                <w:szCs w:val="24"/>
                <w:lang w:val="en-CA"/>
              </w:rPr>
              <w:t>6%</w:t>
            </w:r>
          </w:p>
        </w:tc>
        <w:tc>
          <w:tcPr>
            <w:tcW w:w="1804" w:type="dxa"/>
            <w:tcBorders>
              <w:bottom w:val="single" w:sz="4" w:space="0" w:color="auto"/>
            </w:tcBorders>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bCs/>
                <w:color w:val="000000"/>
                <w:sz w:val="24"/>
                <w:szCs w:val="24"/>
                <w:lang w:val="en-CA"/>
              </w:rPr>
              <w:t>103%</w:t>
            </w:r>
          </w:p>
        </w:tc>
      </w:tr>
      <w:tr w:rsidR="00C54FDD" w:rsidRPr="00DF135F" w:rsidTr="008B7D89">
        <w:tc>
          <w:tcPr>
            <w:tcW w:w="1803" w:type="dxa"/>
            <w:vMerge w:val="restart"/>
            <w:tcBorders>
              <w:top w:val="single" w:sz="4" w:space="0" w:color="auto"/>
              <w:bottom w:val="nil"/>
            </w:tcBorders>
          </w:tcPr>
          <w:p w:rsidR="00C54FDD" w:rsidRPr="00DF135F" w:rsidRDefault="00C54FDD" w:rsidP="008B7D89">
            <w:pPr>
              <w:rPr>
                <w:rFonts w:ascii="Times New Roman" w:eastAsia="Times New Roman" w:hAnsi="Times New Roman"/>
                <w:color w:val="000000"/>
                <w:sz w:val="24"/>
                <w:szCs w:val="24"/>
                <w:lang w:val="en-CA"/>
              </w:rPr>
            </w:pPr>
            <w:r w:rsidRPr="00DF135F">
              <w:rPr>
                <w:rFonts w:ascii="Times New Roman" w:eastAsia="Times New Roman" w:hAnsi="Times New Roman"/>
                <w:color w:val="000000"/>
                <w:sz w:val="24"/>
                <w:szCs w:val="24"/>
                <w:lang w:val="en-CA"/>
              </w:rPr>
              <w:t>Urinary       Elements</w:t>
            </w:r>
          </w:p>
        </w:tc>
        <w:tc>
          <w:tcPr>
            <w:tcW w:w="1803" w:type="dxa"/>
            <w:tcBorders>
              <w:top w:val="single" w:sz="4" w:space="0" w:color="auto"/>
              <w:bottom w:val="nil"/>
            </w:tcBorders>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bCs/>
                <w:color w:val="000000"/>
                <w:sz w:val="24"/>
                <w:szCs w:val="24"/>
                <w:lang w:val="en-CA"/>
              </w:rPr>
              <w:t>Cd</w:t>
            </w:r>
          </w:p>
        </w:tc>
        <w:tc>
          <w:tcPr>
            <w:tcW w:w="1803" w:type="dxa"/>
            <w:tcBorders>
              <w:top w:val="single" w:sz="4" w:space="0" w:color="auto"/>
              <w:bottom w:val="nil"/>
            </w:tcBorders>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bCs/>
                <w:color w:val="000000"/>
                <w:sz w:val="24"/>
                <w:szCs w:val="24"/>
                <w:lang w:val="en-CA"/>
              </w:rPr>
              <w:t>0.3</w:t>
            </w:r>
          </w:p>
        </w:tc>
        <w:tc>
          <w:tcPr>
            <w:tcW w:w="1803" w:type="dxa"/>
            <w:tcBorders>
              <w:top w:val="single" w:sz="4" w:space="0" w:color="auto"/>
              <w:bottom w:val="nil"/>
            </w:tcBorders>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bCs/>
                <w:color w:val="000000"/>
                <w:sz w:val="24"/>
                <w:szCs w:val="24"/>
                <w:lang w:val="en-CA"/>
              </w:rPr>
              <w:t>22%</w:t>
            </w:r>
          </w:p>
        </w:tc>
        <w:tc>
          <w:tcPr>
            <w:tcW w:w="1804" w:type="dxa"/>
            <w:tcBorders>
              <w:top w:val="single" w:sz="4" w:space="0" w:color="auto"/>
              <w:bottom w:val="nil"/>
            </w:tcBorders>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bCs/>
                <w:color w:val="000000"/>
                <w:sz w:val="24"/>
                <w:szCs w:val="24"/>
                <w:lang w:val="en-CA"/>
              </w:rPr>
              <w:t>116%</w:t>
            </w:r>
          </w:p>
        </w:tc>
      </w:tr>
      <w:tr w:rsidR="00C54FDD" w:rsidRPr="00DF135F" w:rsidTr="008B7D89">
        <w:tc>
          <w:tcPr>
            <w:tcW w:w="1803" w:type="dxa"/>
            <w:vMerge/>
            <w:tcBorders>
              <w:top w:val="nil"/>
            </w:tcBorders>
          </w:tcPr>
          <w:p w:rsidR="00C54FDD" w:rsidRPr="00DF135F" w:rsidRDefault="00C54FDD" w:rsidP="008B7D89">
            <w:pPr>
              <w:rPr>
                <w:rFonts w:ascii="Times New Roman" w:eastAsia="Times New Roman" w:hAnsi="Times New Roman"/>
                <w:color w:val="000000"/>
                <w:sz w:val="24"/>
                <w:szCs w:val="24"/>
                <w:lang w:val="en-CA"/>
              </w:rPr>
            </w:pPr>
          </w:p>
        </w:tc>
        <w:tc>
          <w:tcPr>
            <w:tcW w:w="1803" w:type="dxa"/>
            <w:tcBorders>
              <w:top w:val="nil"/>
            </w:tcBorders>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bCs/>
                <w:color w:val="000000"/>
                <w:sz w:val="24"/>
                <w:szCs w:val="24"/>
                <w:lang w:val="en-CA"/>
              </w:rPr>
              <w:t>Pb</w:t>
            </w:r>
          </w:p>
        </w:tc>
        <w:tc>
          <w:tcPr>
            <w:tcW w:w="1803" w:type="dxa"/>
            <w:tcBorders>
              <w:top w:val="nil"/>
            </w:tcBorders>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bCs/>
                <w:color w:val="000000"/>
                <w:sz w:val="24"/>
                <w:szCs w:val="24"/>
                <w:lang w:val="en-CA"/>
              </w:rPr>
              <w:t>3.7</w:t>
            </w:r>
          </w:p>
        </w:tc>
        <w:tc>
          <w:tcPr>
            <w:tcW w:w="1803" w:type="dxa"/>
            <w:tcBorders>
              <w:top w:val="nil"/>
            </w:tcBorders>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bCs/>
                <w:color w:val="000000"/>
                <w:sz w:val="24"/>
                <w:szCs w:val="24"/>
                <w:lang w:val="en-CA"/>
              </w:rPr>
              <w:t>8%</w:t>
            </w:r>
          </w:p>
        </w:tc>
        <w:tc>
          <w:tcPr>
            <w:tcW w:w="1804" w:type="dxa"/>
            <w:tcBorders>
              <w:top w:val="nil"/>
            </w:tcBorders>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bCs/>
                <w:color w:val="000000"/>
                <w:sz w:val="24"/>
                <w:szCs w:val="24"/>
                <w:lang w:val="en-CA"/>
              </w:rPr>
              <w:t>100%</w:t>
            </w:r>
          </w:p>
        </w:tc>
      </w:tr>
      <w:tr w:rsidR="00C54FDD" w:rsidRPr="00DF135F" w:rsidTr="008B7D89">
        <w:tc>
          <w:tcPr>
            <w:tcW w:w="1803" w:type="dxa"/>
            <w:vMerge/>
          </w:tcPr>
          <w:p w:rsidR="00C54FDD" w:rsidRPr="00DF135F" w:rsidRDefault="00C54FDD" w:rsidP="008B7D89">
            <w:pPr>
              <w:rPr>
                <w:rFonts w:ascii="Times New Roman" w:eastAsia="Times New Roman" w:hAnsi="Times New Roman"/>
                <w:color w:val="000000"/>
                <w:sz w:val="24"/>
                <w:szCs w:val="24"/>
                <w:lang w:val="en-CA"/>
              </w:rPr>
            </w:pPr>
          </w:p>
        </w:tc>
        <w:tc>
          <w:tcPr>
            <w:tcW w:w="1803" w:type="dxa"/>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bCs/>
                <w:color w:val="000000"/>
                <w:sz w:val="24"/>
                <w:szCs w:val="24"/>
                <w:lang w:val="en-CA"/>
              </w:rPr>
              <w:t>As</w:t>
            </w:r>
          </w:p>
        </w:tc>
        <w:tc>
          <w:tcPr>
            <w:tcW w:w="1803" w:type="dxa"/>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bCs/>
                <w:color w:val="000000"/>
                <w:sz w:val="24"/>
                <w:szCs w:val="24"/>
                <w:lang w:val="en-CA"/>
              </w:rPr>
              <w:t>1.4</w:t>
            </w:r>
          </w:p>
        </w:tc>
        <w:tc>
          <w:tcPr>
            <w:tcW w:w="1803" w:type="dxa"/>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bCs/>
                <w:color w:val="000000"/>
                <w:sz w:val="24"/>
                <w:szCs w:val="24"/>
                <w:lang w:val="en-CA"/>
              </w:rPr>
              <w:t>6%</w:t>
            </w:r>
          </w:p>
        </w:tc>
        <w:tc>
          <w:tcPr>
            <w:tcW w:w="1804" w:type="dxa"/>
          </w:tcPr>
          <w:p w:rsidR="00C54FDD" w:rsidRPr="00DF135F" w:rsidRDefault="00C54FDD" w:rsidP="008B7D89">
            <w:pPr>
              <w:rPr>
                <w:rFonts w:ascii="Times New Roman" w:eastAsia="Times New Roman" w:hAnsi="Times New Roman"/>
                <w:bCs/>
                <w:color w:val="000000"/>
                <w:sz w:val="24"/>
                <w:szCs w:val="24"/>
                <w:lang w:val="en-CA"/>
              </w:rPr>
            </w:pPr>
            <w:r w:rsidRPr="00DF135F">
              <w:rPr>
                <w:rFonts w:ascii="Times New Roman" w:eastAsia="Times New Roman" w:hAnsi="Times New Roman"/>
                <w:bCs/>
                <w:color w:val="000000"/>
                <w:sz w:val="24"/>
                <w:szCs w:val="24"/>
                <w:lang w:val="en-CA"/>
              </w:rPr>
              <w:t>100%</w:t>
            </w:r>
          </w:p>
        </w:tc>
      </w:tr>
    </w:tbl>
    <w:p w:rsidR="00C54FDD" w:rsidRDefault="00C54FDD" w:rsidP="00C54FDD">
      <w:pPr>
        <w:jc w:val="both"/>
        <w:rPr>
          <w:rFonts w:ascii="Times New Roman" w:hAnsi="Times New Roman"/>
          <w:sz w:val="24"/>
          <w:szCs w:val="24"/>
        </w:rPr>
      </w:pPr>
    </w:p>
    <w:p w:rsidR="00C54FDD" w:rsidRDefault="00C54FDD" w:rsidP="00C54FDD">
      <w:pPr>
        <w:pStyle w:val="Caption"/>
        <w:keepNext/>
        <w:rPr>
          <w:rFonts w:ascii="Times New Roman" w:hAnsi="Times New Roman"/>
          <w:i w:val="0"/>
          <w:color w:val="auto"/>
          <w:sz w:val="22"/>
          <w:szCs w:val="22"/>
        </w:rPr>
      </w:pPr>
    </w:p>
    <w:p w:rsidR="00C54FDD" w:rsidRDefault="00C54FDD">
      <w:pPr>
        <w:sectPr w:rsidR="00C54FDD">
          <w:pgSz w:w="11906" w:h="16838"/>
          <w:pgMar w:top="1440" w:right="1440" w:bottom="1440" w:left="1440" w:header="708" w:footer="708" w:gutter="0"/>
          <w:cols w:space="708"/>
          <w:docGrid w:linePitch="360"/>
        </w:sectPr>
      </w:pPr>
    </w:p>
    <w:p w:rsidR="00C54FDD" w:rsidRPr="00C54FDD" w:rsidRDefault="00C54FDD" w:rsidP="00C54FDD">
      <w:pPr>
        <w:pStyle w:val="Caption"/>
        <w:keepNext/>
        <w:rPr>
          <w:rFonts w:ascii="Times New Roman" w:hAnsi="Times New Roman"/>
          <w:i w:val="0"/>
          <w:color w:val="auto"/>
          <w:sz w:val="24"/>
          <w:szCs w:val="24"/>
        </w:rPr>
      </w:pPr>
      <w:r w:rsidRPr="00FD2C23">
        <w:rPr>
          <w:rFonts w:ascii="Times New Roman" w:hAnsi="Times New Roman"/>
          <w:i w:val="0"/>
          <w:color w:val="auto"/>
          <w:sz w:val="24"/>
          <w:szCs w:val="24"/>
        </w:rPr>
        <w:lastRenderedPageBreak/>
        <w:t xml:space="preserve">Table </w:t>
      </w:r>
      <w:r w:rsidR="00E323BA">
        <w:rPr>
          <w:rFonts w:ascii="Times New Roman" w:hAnsi="Times New Roman"/>
          <w:i w:val="0"/>
          <w:color w:val="auto"/>
          <w:sz w:val="24"/>
          <w:szCs w:val="24"/>
        </w:rPr>
        <w:t>S2</w:t>
      </w:r>
      <w:r w:rsidRPr="00FD2C23">
        <w:rPr>
          <w:rFonts w:ascii="Times New Roman" w:hAnsi="Times New Roman"/>
          <w:i w:val="0"/>
          <w:color w:val="auto"/>
          <w:sz w:val="24"/>
          <w:szCs w:val="24"/>
        </w:rPr>
        <w:t xml:space="preserve">: Association between LINE1 methylation and levels of Cd, Pb, and </w:t>
      </w:r>
      <w:proofErr w:type="gramStart"/>
      <w:r w:rsidRPr="00FD2C23">
        <w:rPr>
          <w:rFonts w:ascii="Times New Roman" w:hAnsi="Times New Roman"/>
          <w:i w:val="0"/>
          <w:color w:val="auto"/>
          <w:sz w:val="24"/>
          <w:szCs w:val="24"/>
        </w:rPr>
        <w:t>As</w:t>
      </w:r>
      <w:proofErr w:type="gramEnd"/>
      <w:r w:rsidRPr="00FD2C23">
        <w:rPr>
          <w:rFonts w:ascii="Times New Roman" w:hAnsi="Times New Roman"/>
          <w:i w:val="0"/>
          <w:color w:val="auto"/>
          <w:sz w:val="24"/>
          <w:szCs w:val="24"/>
        </w:rPr>
        <w:t xml:space="preserve"> in blood and urine. </w:t>
      </w:r>
    </w:p>
    <w:tbl>
      <w:tblPr>
        <w:tblW w:w="13337" w:type="dxa"/>
        <w:tblLook w:val="04A0" w:firstRow="1" w:lastRow="0" w:firstColumn="1" w:lastColumn="0" w:noHBand="0" w:noVBand="1"/>
      </w:tblPr>
      <w:tblGrid>
        <w:gridCol w:w="1194"/>
        <w:gridCol w:w="2397"/>
        <w:gridCol w:w="1551"/>
        <w:gridCol w:w="2398"/>
        <w:gridCol w:w="1692"/>
        <w:gridCol w:w="2679"/>
        <w:gridCol w:w="1410"/>
        <w:gridCol w:w="16"/>
      </w:tblGrid>
      <w:tr w:rsidR="00C54FDD" w:rsidRPr="00C54FDD" w:rsidTr="008B7D89">
        <w:tc>
          <w:tcPr>
            <w:tcW w:w="1194" w:type="dxa"/>
            <w:tcBorders>
              <w:top w:val="single" w:sz="4" w:space="0" w:color="auto"/>
              <w:bottom w:val="single" w:sz="4" w:space="0" w:color="auto"/>
            </w:tcBorders>
          </w:tcPr>
          <w:p w:rsidR="00C54FDD" w:rsidRPr="00C54FDD" w:rsidRDefault="00C54FDD" w:rsidP="00C54FDD">
            <w:pPr>
              <w:spacing w:after="0" w:line="240" w:lineRule="auto"/>
              <w:rPr>
                <w:rFonts w:ascii="Times New Roman" w:hAnsi="Times New Roman"/>
              </w:rPr>
            </w:pPr>
          </w:p>
        </w:tc>
        <w:tc>
          <w:tcPr>
            <w:tcW w:w="12143" w:type="dxa"/>
            <w:gridSpan w:val="7"/>
            <w:tcBorders>
              <w:top w:val="single" w:sz="4" w:space="0" w:color="auto"/>
              <w:bottom w:val="single" w:sz="4" w:space="0" w:color="auto"/>
            </w:tcBorders>
          </w:tcPr>
          <w:p w:rsidR="00C54FDD" w:rsidRPr="00C54FDD" w:rsidRDefault="00C54FDD" w:rsidP="00C54FDD">
            <w:pPr>
              <w:spacing w:after="0" w:line="240" w:lineRule="auto"/>
              <w:jc w:val="center"/>
              <w:rPr>
                <w:rFonts w:ascii="Times New Roman" w:hAnsi="Times New Roman"/>
                <w:b/>
              </w:rPr>
            </w:pPr>
            <w:r w:rsidRPr="00C54FDD">
              <w:rPr>
                <w:rFonts w:ascii="Times New Roman" w:hAnsi="Times New Roman"/>
                <w:b/>
              </w:rPr>
              <w:t>LINE1 methylation</w:t>
            </w:r>
          </w:p>
        </w:tc>
      </w:tr>
      <w:tr w:rsidR="00C54FDD" w:rsidRPr="00C54FDD" w:rsidTr="008B7D89">
        <w:trPr>
          <w:gridAfter w:val="1"/>
          <w:wAfter w:w="16" w:type="dxa"/>
        </w:trPr>
        <w:tc>
          <w:tcPr>
            <w:tcW w:w="1194" w:type="dxa"/>
            <w:tcBorders>
              <w:bottom w:val="single" w:sz="4" w:space="0" w:color="auto"/>
            </w:tcBorders>
          </w:tcPr>
          <w:p w:rsidR="00C54FDD" w:rsidRPr="00C54FDD" w:rsidRDefault="00C54FDD" w:rsidP="00C54FDD">
            <w:pPr>
              <w:spacing w:after="0" w:line="240" w:lineRule="auto"/>
              <w:rPr>
                <w:rFonts w:ascii="Times New Roman" w:hAnsi="Times New Roman"/>
                <w:b/>
              </w:rPr>
            </w:pPr>
            <w:r w:rsidRPr="00C54FDD">
              <w:rPr>
                <w:rFonts w:ascii="Times New Roman" w:hAnsi="Times New Roman"/>
                <w:b/>
              </w:rPr>
              <w:t>Predictors</w:t>
            </w:r>
          </w:p>
        </w:tc>
        <w:tc>
          <w:tcPr>
            <w:tcW w:w="3948" w:type="dxa"/>
            <w:gridSpan w:val="2"/>
            <w:tcBorders>
              <w:bottom w:val="single" w:sz="4" w:space="0" w:color="auto"/>
            </w:tcBorders>
          </w:tcPr>
          <w:p w:rsidR="00C54FDD" w:rsidRPr="00C54FDD" w:rsidRDefault="00C54FDD" w:rsidP="00C54FDD">
            <w:pPr>
              <w:spacing w:after="0" w:line="240" w:lineRule="auto"/>
              <w:jc w:val="center"/>
              <w:rPr>
                <w:rFonts w:ascii="Times New Roman" w:hAnsi="Times New Roman"/>
                <w:b/>
              </w:rPr>
            </w:pPr>
            <w:r w:rsidRPr="00C54FDD">
              <w:rPr>
                <w:rFonts w:ascii="Times New Roman" w:hAnsi="Times New Roman"/>
                <w:b/>
              </w:rPr>
              <w:t>Total</w:t>
            </w:r>
          </w:p>
        </w:tc>
        <w:tc>
          <w:tcPr>
            <w:tcW w:w="4090" w:type="dxa"/>
            <w:gridSpan w:val="2"/>
            <w:tcBorders>
              <w:bottom w:val="single" w:sz="4" w:space="0" w:color="auto"/>
            </w:tcBorders>
          </w:tcPr>
          <w:p w:rsidR="00C54FDD" w:rsidRPr="00C54FDD" w:rsidRDefault="00C54FDD" w:rsidP="00C54FDD">
            <w:pPr>
              <w:spacing w:after="0" w:line="240" w:lineRule="auto"/>
              <w:jc w:val="center"/>
              <w:rPr>
                <w:rFonts w:ascii="Times New Roman" w:hAnsi="Times New Roman"/>
                <w:b/>
              </w:rPr>
            </w:pPr>
            <w:r w:rsidRPr="00C54FDD">
              <w:rPr>
                <w:rFonts w:ascii="Times New Roman" w:hAnsi="Times New Roman"/>
                <w:b/>
              </w:rPr>
              <w:t>e-waste workers</w:t>
            </w:r>
          </w:p>
        </w:tc>
        <w:tc>
          <w:tcPr>
            <w:tcW w:w="4089" w:type="dxa"/>
            <w:gridSpan w:val="2"/>
            <w:tcBorders>
              <w:bottom w:val="single" w:sz="4" w:space="0" w:color="auto"/>
            </w:tcBorders>
          </w:tcPr>
          <w:p w:rsidR="00C54FDD" w:rsidRPr="00C54FDD" w:rsidRDefault="00C54FDD" w:rsidP="00C54FDD">
            <w:pPr>
              <w:spacing w:after="0" w:line="240" w:lineRule="auto"/>
              <w:jc w:val="center"/>
              <w:rPr>
                <w:rFonts w:ascii="Times New Roman" w:hAnsi="Times New Roman"/>
                <w:b/>
              </w:rPr>
            </w:pPr>
            <w:r w:rsidRPr="00C54FDD">
              <w:rPr>
                <w:rFonts w:ascii="Times New Roman" w:hAnsi="Times New Roman"/>
                <w:b/>
              </w:rPr>
              <w:t xml:space="preserve">Controls </w:t>
            </w:r>
          </w:p>
        </w:tc>
      </w:tr>
      <w:tr w:rsidR="00C54FDD" w:rsidRPr="00C54FDD" w:rsidTr="008B7D89">
        <w:trPr>
          <w:gridAfter w:val="1"/>
          <w:wAfter w:w="16" w:type="dxa"/>
        </w:trPr>
        <w:tc>
          <w:tcPr>
            <w:tcW w:w="1194" w:type="dxa"/>
            <w:tcBorders>
              <w:top w:val="single" w:sz="4" w:space="0" w:color="auto"/>
              <w:bottom w:val="single" w:sz="4" w:space="0" w:color="auto"/>
            </w:tcBorders>
          </w:tcPr>
          <w:p w:rsidR="00C54FDD" w:rsidRPr="00C54FDD" w:rsidRDefault="00C54FDD" w:rsidP="00C54FDD">
            <w:pPr>
              <w:spacing w:after="0" w:line="240" w:lineRule="auto"/>
              <w:rPr>
                <w:rFonts w:ascii="Times New Roman" w:hAnsi="Times New Roman"/>
              </w:rPr>
            </w:pPr>
          </w:p>
        </w:tc>
        <w:tc>
          <w:tcPr>
            <w:tcW w:w="2397" w:type="dxa"/>
            <w:tcBorders>
              <w:top w:val="single" w:sz="4" w:space="0" w:color="auto"/>
              <w:bottom w:val="single" w:sz="4" w:space="0" w:color="auto"/>
            </w:tcBorders>
          </w:tcPr>
          <w:p w:rsidR="00C54FDD" w:rsidRPr="00C54FDD" w:rsidRDefault="00C54FDD" w:rsidP="00C54FDD">
            <w:pPr>
              <w:spacing w:after="0" w:line="240" w:lineRule="auto"/>
              <w:jc w:val="center"/>
              <w:rPr>
                <w:rFonts w:ascii="Times New Roman" w:hAnsi="Times New Roman"/>
                <w:b/>
              </w:rPr>
            </w:pPr>
            <w:r w:rsidRPr="00C54FDD">
              <w:rPr>
                <w:rFonts w:ascii="Times New Roman" w:hAnsi="Times New Roman"/>
                <w:b/>
              </w:rPr>
              <w:t>β(95%CI)</w:t>
            </w:r>
          </w:p>
        </w:tc>
        <w:tc>
          <w:tcPr>
            <w:tcW w:w="1551" w:type="dxa"/>
            <w:tcBorders>
              <w:top w:val="single" w:sz="4" w:space="0" w:color="auto"/>
              <w:bottom w:val="single" w:sz="4" w:space="0" w:color="auto"/>
            </w:tcBorders>
          </w:tcPr>
          <w:p w:rsidR="00C54FDD" w:rsidRPr="00C54FDD" w:rsidRDefault="00C54FDD" w:rsidP="00C54FDD">
            <w:pPr>
              <w:spacing w:after="0" w:line="240" w:lineRule="auto"/>
              <w:jc w:val="center"/>
              <w:rPr>
                <w:rFonts w:ascii="Times New Roman" w:hAnsi="Times New Roman"/>
                <w:b/>
              </w:rPr>
            </w:pPr>
            <w:r w:rsidRPr="00C54FDD">
              <w:rPr>
                <w:rFonts w:ascii="Times New Roman" w:hAnsi="Times New Roman"/>
                <w:b/>
              </w:rPr>
              <w:t>p-value</w:t>
            </w:r>
          </w:p>
        </w:tc>
        <w:tc>
          <w:tcPr>
            <w:tcW w:w="2398" w:type="dxa"/>
            <w:tcBorders>
              <w:top w:val="single" w:sz="4" w:space="0" w:color="auto"/>
              <w:bottom w:val="single" w:sz="4" w:space="0" w:color="auto"/>
            </w:tcBorders>
          </w:tcPr>
          <w:p w:rsidR="00C54FDD" w:rsidRPr="00C54FDD" w:rsidRDefault="00C54FDD" w:rsidP="00C54FDD">
            <w:pPr>
              <w:spacing w:after="0" w:line="240" w:lineRule="auto"/>
              <w:jc w:val="center"/>
              <w:rPr>
                <w:rFonts w:ascii="Times New Roman" w:hAnsi="Times New Roman"/>
                <w:b/>
              </w:rPr>
            </w:pPr>
            <w:r w:rsidRPr="00C54FDD">
              <w:rPr>
                <w:rFonts w:ascii="Times New Roman" w:hAnsi="Times New Roman"/>
                <w:b/>
              </w:rPr>
              <w:t>β(95%CI)</w:t>
            </w:r>
          </w:p>
        </w:tc>
        <w:tc>
          <w:tcPr>
            <w:tcW w:w="1692" w:type="dxa"/>
            <w:tcBorders>
              <w:top w:val="single" w:sz="4" w:space="0" w:color="auto"/>
              <w:bottom w:val="single" w:sz="4" w:space="0" w:color="auto"/>
            </w:tcBorders>
          </w:tcPr>
          <w:p w:rsidR="00C54FDD" w:rsidRPr="00C54FDD" w:rsidRDefault="00C54FDD" w:rsidP="00C54FDD">
            <w:pPr>
              <w:spacing w:after="0" w:line="240" w:lineRule="auto"/>
              <w:jc w:val="center"/>
              <w:rPr>
                <w:rFonts w:ascii="Times New Roman" w:hAnsi="Times New Roman"/>
                <w:b/>
              </w:rPr>
            </w:pPr>
            <w:r w:rsidRPr="00C54FDD">
              <w:rPr>
                <w:rFonts w:ascii="Times New Roman" w:hAnsi="Times New Roman"/>
                <w:b/>
              </w:rPr>
              <w:t>p-value</w:t>
            </w:r>
          </w:p>
        </w:tc>
        <w:tc>
          <w:tcPr>
            <w:tcW w:w="2679" w:type="dxa"/>
            <w:tcBorders>
              <w:top w:val="single" w:sz="4" w:space="0" w:color="auto"/>
              <w:bottom w:val="single" w:sz="4" w:space="0" w:color="auto"/>
            </w:tcBorders>
          </w:tcPr>
          <w:p w:rsidR="00C54FDD" w:rsidRPr="00C54FDD" w:rsidRDefault="00C54FDD" w:rsidP="00C54FDD">
            <w:pPr>
              <w:spacing w:after="0" w:line="240" w:lineRule="auto"/>
              <w:jc w:val="center"/>
              <w:rPr>
                <w:rFonts w:ascii="Times New Roman" w:hAnsi="Times New Roman"/>
                <w:b/>
              </w:rPr>
            </w:pPr>
            <w:r w:rsidRPr="00C54FDD">
              <w:rPr>
                <w:rFonts w:ascii="Times New Roman" w:hAnsi="Times New Roman"/>
                <w:b/>
              </w:rPr>
              <w:t>β(95%CI)</w:t>
            </w:r>
          </w:p>
        </w:tc>
        <w:tc>
          <w:tcPr>
            <w:tcW w:w="1410" w:type="dxa"/>
            <w:tcBorders>
              <w:top w:val="single" w:sz="4" w:space="0" w:color="auto"/>
              <w:bottom w:val="single" w:sz="4" w:space="0" w:color="auto"/>
            </w:tcBorders>
          </w:tcPr>
          <w:p w:rsidR="00C54FDD" w:rsidRPr="00C54FDD" w:rsidRDefault="00C54FDD" w:rsidP="00C54FDD">
            <w:pPr>
              <w:spacing w:after="0" w:line="240" w:lineRule="auto"/>
              <w:jc w:val="center"/>
              <w:rPr>
                <w:rFonts w:ascii="Times New Roman" w:hAnsi="Times New Roman"/>
                <w:b/>
              </w:rPr>
            </w:pPr>
            <w:r w:rsidRPr="00C54FDD">
              <w:rPr>
                <w:rFonts w:ascii="Times New Roman" w:hAnsi="Times New Roman"/>
                <w:b/>
              </w:rPr>
              <w:t>p-value</w:t>
            </w:r>
          </w:p>
        </w:tc>
      </w:tr>
      <w:tr w:rsidR="00C54FDD" w:rsidRPr="00C54FDD" w:rsidTr="008B7D89">
        <w:trPr>
          <w:gridAfter w:val="1"/>
          <w:wAfter w:w="16" w:type="dxa"/>
        </w:trPr>
        <w:tc>
          <w:tcPr>
            <w:tcW w:w="1194" w:type="dxa"/>
            <w:tcBorders>
              <w:top w:val="single" w:sz="4" w:space="0" w:color="auto"/>
            </w:tcBorders>
          </w:tcPr>
          <w:p w:rsidR="00C54FDD" w:rsidRPr="00C54FDD" w:rsidRDefault="00C54FDD" w:rsidP="00C54FDD">
            <w:pPr>
              <w:spacing w:after="0" w:line="240" w:lineRule="auto"/>
              <w:rPr>
                <w:rFonts w:ascii="Times New Roman" w:hAnsi="Times New Roman"/>
              </w:rPr>
            </w:pPr>
            <w:r w:rsidRPr="00C54FDD">
              <w:rPr>
                <w:rFonts w:ascii="Times New Roman" w:hAnsi="Times New Roman"/>
              </w:rPr>
              <w:t>Blood Cd</w:t>
            </w:r>
          </w:p>
        </w:tc>
        <w:tc>
          <w:tcPr>
            <w:tcW w:w="2397" w:type="dxa"/>
            <w:tcBorders>
              <w:top w:val="single" w:sz="4" w:space="0" w:color="auto"/>
            </w:tcBorders>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0.027(-0.378, 0.431)</w:t>
            </w:r>
          </w:p>
        </w:tc>
        <w:tc>
          <w:tcPr>
            <w:tcW w:w="1551" w:type="dxa"/>
            <w:tcBorders>
              <w:top w:val="single" w:sz="4" w:space="0" w:color="auto"/>
            </w:tcBorders>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0.897</w:t>
            </w:r>
          </w:p>
        </w:tc>
        <w:tc>
          <w:tcPr>
            <w:tcW w:w="2398" w:type="dxa"/>
            <w:tcBorders>
              <w:top w:val="single" w:sz="4" w:space="0" w:color="auto"/>
            </w:tcBorders>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-0.091(-0.757, 0.575)</w:t>
            </w:r>
          </w:p>
        </w:tc>
        <w:tc>
          <w:tcPr>
            <w:tcW w:w="1692" w:type="dxa"/>
            <w:tcBorders>
              <w:top w:val="single" w:sz="4" w:space="0" w:color="auto"/>
            </w:tcBorders>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0.787</w:t>
            </w:r>
          </w:p>
        </w:tc>
        <w:tc>
          <w:tcPr>
            <w:tcW w:w="2679" w:type="dxa"/>
            <w:tcBorders>
              <w:top w:val="single" w:sz="4" w:space="0" w:color="auto"/>
            </w:tcBorders>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0.013(-0.544, 0.571)</w:t>
            </w:r>
          </w:p>
        </w:tc>
        <w:tc>
          <w:tcPr>
            <w:tcW w:w="1410" w:type="dxa"/>
            <w:tcBorders>
              <w:top w:val="single" w:sz="4" w:space="0" w:color="auto"/>
            </w:tcBorders>
          </w:tcPr>
          <w:p w:rsidR="00C54FDD" w:rsidRPr="00C54FDD" w:rsidRDefault="00C54FDD" w:rsidP="00C54FDD">
            <w:pPr>
              <w:spacing w:after="0" w:line="240" w:lineRule="auto"/>
              <w:jc w:val="center"/>
              <w:rPr>
                <w:rFonts w:ascii="Times New Roman" w:hAnsi="Times New Roman"/>
                <w:b/>
              </w:rPr>
            </w:pPr>
            <w:r w:rsidRPr="00C54FDD">
              <w:rPr>
                <w:rFonts w:ascii="Times New Roman" w:hAnsi="Times New Roman"/>
              </w:rPr>
              <w:t>0.962</w:t>
            </w:r>
          </w:p>
        </w:tc>
      </w:tr>
      <w:tr w:rsidR="00C54FDD" w:rsidRPr="00C54FDD" w:rsidTr="008B7D89">
        <w:trPr>
          <w:gridAfter w:val="1"/>
          <w:wAfter w:w="16" w:type="dxa"/>
        </w:trPr>
        <w:tc>
          <w:tcPr>
            <w:tcW w:w="1194" w:type="dxa"/>
          </w:tcPr>
          <w:p w:rsidR="00C54FDD" w:rsidRPr="00C54FDD" w:rsidRDefault="00C54FDD" w:rsidP="00C54FDD">
            <w:pPr>
              <w:spacing w:after="0" w:line="240" w:lineRule="auto"/>
              <w:rPr>
                <w:rFonts w:ascii="Times New Roman" w:hAnsi="Times New Roman"/>
              </w:rPr>
            </w:pPr>
            <w:r w:rsidRPr="00C54FDD">
              <w:rPr>
                <w:rFonts w:ascii="Times New Roman" w:hAnsi="Times New Roman"/>
              </w:rPr>
              <w:t>Urine Cd</w:t>
            </w:r>
          </w:p>
        </w:tc>
        <w:tc>
          <w:tcPr>
            <w:tcW w:w="2397"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-0.088(-0.303, 0.128)</w:t>
            </w:r>
          </w:p>
        </w:tc>
        <w:tc>
          <w:tcPr>
            <w:tcW w:w="1551"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0.422</w:t>
            </w:r>
          </w:p>
        </w:tc>
        <w:tc>
          <w:tcPr>
            <w:tcW w:w="2398"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-0.054(-0.291, 0.184)</w:t>
            </w:r>
          </w:p>
        </w:tc>
        <w:tc>
          <w:tcPr>
            <w:tcW w:w="1692"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0.655</w:t>
            </w:r>
          </w:p>
        </w:tc>
        <w:tc>
          <w:tcPr>
            <w:tcW w:w="2679"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-0.502(-1.520, 0 .516)</w:t>
            </w:r>
          </w:p>
        </w:tc>
        <w:tc>
          <w:tcPr>
            <w:tcW w:w="1410"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0.325</w:t>
            </w:r>
          </w:p>
        </w:tc>
      </w:tr>
      <w:tr w:rsidR="00C54FDD" w:rsidRPr="00C54FDD" w:rsidTr="008B7D89">
        <w:trPr>
          <w:gridAfter w:val="1"/>
          <w:wAfter w:w="16" w:type="dxa"/>
        </w:trPr>
        <w:tc>
          <w:tcPr>
            <w:tcW w:w="1194" w:type="dxa"/>
          </w:tcPr>
          <w:p w:rsidR="00C54FDD" w:rsidRPr="00C54FDD" w:rsidRDefault="00C54FDD" w:rsidP="00C54FDD">
            <w:pPr>
              <w:spacing w:after="0" w:line="240" w:lineRule="auto"/>
              <w:rPr>
                <w:rFonts w:ascii="Times New Roman" w:hAnsi="Times New Roman"/>
              </w:rPr>
            </w:pPr>
            <w:r w:rsidRPr="00C54FDD">
              <w:rPr>
                <w:rFonts w:ascii="Times New Roman" w:hAnsi="Times New Roman"/>
              </w:rPr>
              <w:t>Blood Pb</w:t>
            </w:r>
          </w:p>
        </w:tc>
        <w:tc>
          <w:tcPr>
            <w:tcW w:w="2397"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-0.004(-0.008, -0.0003)</w:t>
            </w:r>
          </w:p>
        </w:tc>
        <w:tc>
          <w:tcPr>
            <w:tcW w:w="1551" w:type="dxa"/>
          </w:tcPr>
          <w:p w:rsidR="00C54FDD" w:rsidRPr="00C54FDD" w:rsidRDefault="00C54FDD" w:rsidP="00C54FDD">
            <w:pPr>
              <w:spacing w:after="0" w:line="240" w:lineRule="auto"/>
              <w:jc w:val="center"/>
              <w:rPr>
                <w:rFonts w:ascii="Times New Roman" w:hAnsi="Times New Roman"/>
                <w:b/>
              </w:rPr>
            </w:pPr>
            <w:r w:rsidRPr="00C54FDD">
              <w:rPr>
                <w:rFonts w:ascii="Times New Roman" w:hAnsi="Times New Roman"/>
                <w:b/>
              </w:rPr>
              <w:t>0.034</w:t>
            </w:r>
          </w:p>
        </w:tc>
        <w:tc>
          <w:tcPr>
            <w:tcW w:w="2398"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-0.003(-0.007, 0.001)</w:t>
            </w:r>
          </w:p>
        </w:tc>
        <w:tc>
          <w:tcPr>
            <w:tcW w:w="1692"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0.191</w:t>
            </w:r>
          </w:p>
        </w:tc>
        <w:tc>
          <w:tcPr>
            <w:tcW w:w="2679"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-0.025(-0.041, -0.008)</w:t>
            </w:r>
          </w:p>
        </w:tc>
        <w:tc>
          <w:tcPr>
            <w:tcW w:w="1410" w:type="dxa"/>
          </w:tcPr>
          <w:p w:rsidR="00C54FDD" w:rsidRPr="00C54FDD" w:rsidRDefault="00C54FDD" w:rsidP="00C54FDD">
            <w:pPr>
              <w:spacing w:after="0" w:line="240" w:lineRule="auto"/>
              <w:jc w:val="center"/>
              <w:rPr>
                <w:rFonts w:ascii="Times New Roman" w:hAnsi="Times New Roman"/>
                <w:b/>
              </w:rPr>
            </w:pPr>
            <w:r w:rsidRPr="00C54FDD">
              <w:rPr>
                <w:rFonts w:ascii="Times New Roman" w:hAnsi="Times New Roman"/>
                <w:b/>
              </w:rPr>
              <w:t>0.004</w:t>
            </w:r>
          </w:p>
        </w:tc>
      </w:tr>
      <w:tr w:rsidR="00C54FDD" w:rsidRPr="00C54FDD" w:rsidTr="008B7D89">
        <w:trPr>
          <w:gridAfter w:val="1"/>
          <w:wAfter w:w="16" w:type="dxa"/>
        </w:trPr>
        <w:tc>
          <w:tcPr>
            <w:tcW w:w="1194" w:type="dxa"/>
          </w:tcPr>
          <w:p w:rsidR="00C54FDD" w:rsidRPr="00C54FDD" w:rsidRDefault="00C54FDD" w:rsidP="00C54FDD">
            <w:pPr>
              <w:spacing w:after="0" w:line="240" w:lineRule="auto"/>
              <w:rPr>
                <w:rFonts w:ascii="Times New Roman" w:hAnsi="Times New Roman"/>
              </w:rPr>
            </w:pPr>
            <w:r w:rsidRPr="00C54FDD">
              <w:rPr>
                <w:rFonts w:ascii="Times New Roman" w:hAnsi="Times New Roman"/>
              </w:rPr>
              <w:t>Urine Pb</w:t>
            </w:r>
          </w:p>
        </w:tc>
        <w:tc>
          <w:tcPr>
            <w:tcW w:w="2397"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-0.007(-0.051, 0.038)</w:t>
            </w:r>
          </w:p>
        </w:tc>
        <w:tc>
          <w:tcPr>
            <w:tcW w:w="1551"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0.768</w:t>
            </w:r>
          </w:p>
        </w:tc>
        <w:tc>
          <w:tcPr>
            <w:tcW w:w="2398"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0.015(-0.045, 0.074)</w:t>
            </w:r>
          </w:p>
        </w:tc>
        <w:tc>
          <w:tcPr>
            <w:tcW w:w="1692"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0.629</w:t>
            </w:r>
          </w:p>
        </w:tc>
        <w:tc>
          <w:tcPr>
            <w:tcW w:w="2679"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-0.034(-0.112, 0.045)</w:t>
            </w:r>
          </w:p>
        </w:tc>
        <w:tc>
          <w:tcPr>
            <w:tcW w:w="1410"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0.388</w:t>
            </w:r>
          </w:p>
        </w:tc>
      </w:tr>
      <w:tr w:rsidR="00C54FDD" w:rsidRPr="00C54FDD" w:rsidTr="008B7D89">
        <w:trPr>
          <w:gridAfter w:val="1"/>
          <w:wAfter w:w="16" w:type="dxa"/>
        </w:trPr>
        <w:tc>
          <w:tcPr>
            <w:tcW w:w="1194" w:type="dxa"/>
          </w:tcPr>
          <w:p w:rsidR="00C54FDD" w:rsidRPr="00C54FDD" w:rsidRDefault="00C54FDD" w:rsidP="00C54FDD">
            <w:pPr>
              <w:spacing w:after="0" w:line="240" w:lineRule="auto"/>
              <w:rPr>
                <w:rFonts w:ascii="Times New Roman" w:hAnsi="Times New Roman"/>
              </w:rPr>
            </w:pPr>
            <w:r w:rsidRPr="00C54FDD">
              <w:rPr>
                <w:rFonts w:ascii="Times New Roman" w:hAnsi="Times New Roman"/>
              </w:rPr>
              <w:t>Urine As</w:t>
            </w:r>
          </w:p>
        </w:tc>
        <w:tc>
          <w:tcPr>
            <w:tcW w:w="2397"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-0.003(-0.006, 0.001)</w:t>
            </w:r>
          </w:p>
        </w:tc>
        <w:tc>
          <w:tcPr>
            <w:tcW w:w="1551"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0.105</w:t>
            </w:r>
          </w:p>
        </w:tc>
        <w:tc>
          <w:tcPr>
            <w:tcW w:w="2398"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-0.003(-0.007, 0.002)</w:t>
            </w:r>
          </w:p>
        </w:tc>
        <w:tc>
          <w:tcPr>
            <w:tcW w:w="1692"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0.288</w:t>
            </w:r>
          </w:p>
        </w:tc>
        <w:tc>
          <w:tcPr>
            <w:tcW w:w="2679"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-0.003(-0.009, 0.002)</w:t>
            </w:r>
          </w:p>
        </w:tc>
        <w:tc>
          <w:tcPr>
            <w:tcW w:w="1410" w:type="dxa"/>
          </w:tcPr>
          <w:p w:rsidR="00C54FDD" w:rsidRPr="00C54FDD" w:rsidRDefault="00C54FDD" w:rsidP="00C54FDD">
            <w:pPr>
              <w:spacing w:after="0" w:line="240" w:lineRule="auto"/>
              <w:jc w:val="center"/>
              <w:rPr>
                <w:rFonts w:ascii="Times New Roman" w:hAnsi="Times New Roman"/>
              </w:rPr>
            </w:pPr>
            <w:r w:rsidRPr="00C54FDD">
              <w:rPr>
                <w:rFonts w:ascii="Times New Roman" w:hAnsi="Times New Roman"/>
              </w:rPr>
              <w:t>0.236</w:t>
            </w:r>
          </w:p>
        </w:tc>
      </w:tr>
      <w:tr w:rsidR="00C54FDD" w:rsidRPr="00C54FDD" w:rsidTr="008B7D89">
        <w:trPr>
          <w:gridAfter w:val="1"/>
          <w:wAfter w:w="16" w:type="dxa"/>
        </w:trPr>
        <w:tc>
          <w:tcPr>
            <w:tcW w:w="13321" w:type="dxa"/>
            <w:gridSpan w:val="7"/>
            <w:tcBorders>
              <w:top w:val="single" w:sz="4" w:space="0" w:color="auto"/>
            </w:tcBorders>
          </w:tcPr>
          <w:p w:rsidR="00C54FDD" w:rsidRPr="00C54FDD" w:rsidRDefault="00C54FDD" w:rsidP="00C54FDD">
            <w:pPr>
              <w:spacing w:after="0" w:line="240" w:lineRule="auto"/>
              <w:rPr>
                <w:rFonts w:ascii="Times New Roman" w:hAnsi="Times New Roman"/>
              </w:rPr>
            </w:pPr>
            <w:r w:rsidRPr="00C54FDD">
              <w:rPr>
                <w:rFonts w:ascii="Times New Roman" w:hAnsi="Times New Roman"/>
              </w:rPr>
              <w:t>All models are adjusted for age, BMI, smoking status, alcohol intake (in total population and stratified by e-waste exposure). Bolden p-values are statistically significant</w:t>
            </w:r>
          </w:p>
          <w:p w:rsidR="00C54FDD" w:rsidRPr="00C54FDD" w:rsidRDefault="00C54FDD" w:rsidP="00C54FDD">
            <w:pPr>
              <w:spacing w:after="0" w:line="240" w:lineRule="auto"/>
              <w:rPr>
                <w:rFonts w:ascii="Times New Roman" w:hAnsi="Times New Roman"/>
              </w:rPr>
            </w:pPr>
          </w:p>
          <w:p w:rsidR="00C54FDD" w:rsidRPr="00C54FDD" w:rsidRDefault="00C54FDD" w:rsidP="00C54FDD">
            <w:pPr>
              <w:spacing w:after="0" w:line="240" w:lineRule="auto"/>
              <w:rPr>
                <w:rFonts w:ascii="Times New Roman" w:hAnsi="Times New Roman"/>
              </w:rPr>
            </w:pPr>
          </w:p>
          <w:p w:rsidR="00C54FDD" w:rsidRPr="00C54FDD" w:rsidRDefault="00C54FDD" w:rsidP="00C54FDD">
            <w:pPr>
              <w:spacing w:after="0" w:line="240" w:lineRule="auto"/>
              <w:rPr>
                <w:rFonts w:ascii="Times New Roman" w:hAnsi="Times New Roman"/>
              </w:rPr>
            </w:pPr>
          </w:p>
          <w:p w:rsidR="00C54FDD" w:rsidRPr="00C54FDD" w:rsidRDefault="00C54FDD" w:rsidP="00C54FDD">
            <w:pPr>
              <w:spacing w:after="0" w:line="240" w:lineRule="auto"/>
              <w:rPr>
                <w:rFonts w:ascii="Times New Roman" w:hAnsi="Times New Roman"/>
              </w:rPr>
            </w:pPr>
          </w:p>
          <w:p w:rsidR="00C54FDD" w:rsidRPr="00C54FDD" w:rsidRDefault="00C54FDD" w:rsidP="00C54FDD">
            <w:pPr>
              <w:spacing w:after="0" w:line="240" w:lineRule="auto"/>
              <w:rPr>
                <w:rFonts w:ascii="Times New Roman" w:hAnsi="Times New Roman"/>
              </w:rPr>
            </w:pPr>
            <w:bookmarkStart w:id="0" w:name="_GoBack"/>
            <w:bookmarkEnd w:id="0"/>
          </w:p>
          <w:p w:rsidR="00C54FDD" w:rsidRPr="00C54FDD" w:rsidRDefault="00C54FDD" w:rsidP="00C54FDD">
            <w:pPr>
              <w:spacing w:after="0" w:line="240" w:lineRule="auto"/>
              <w:rPr>
                <w:rFonts w:ascii="Times New Roman" w:hAnsi="Times New Roman"/>
              </w:rPr>
            </w:pPr>
          </w:p>
          <w:p w:rsidR="00C54FDD" w:rsidRPr="00C54FDD" w:rsidRDefault="00C54FDD" w:rsidP="00C54FDD">
            <w:pPr>
              <w:keepNext/>
              <w:spacing w:after="200" w:line="240" w:lineRule="auto"/>
              <w:rPr>
                <w:rFonts w:ascii="Times New Roman" w:hAnsi="Times New Roman"/>
                <w:iCs/>
                <w:sz w:val="24"/>
                <w:szCs w:val="24"/>
              </w:rPr>
            </w:pPr>
            <w:r w:rsidRPr="00C54FDD">
              <w:rPr>
                <w:rFonts w:ascii="Times New Roman" w:hAnsi="Times New Roman"/>
                <w:iCs/>
                <w:sz w:val="24"/>
                <w:szCs w:val="24"/>
              </w:rPr>
              <w:t xml:space="preserve"> </w:t>
            </w:r>
          </w:p>
          <w:p w:rsidR="00C54FDD" w:rsidRPr="00C54FDD" w:rsidRDefault="00C54FDD" w:rsidP="00C54FDD">
            <w:pPr>
              <w:spacing w:after="0" w:line="240" w:lineRule="auto"/>
              <w:rPr>
                <w:rFonts w:ascii="Times New Roman" w:hAnsi="Times New Roman"/>
              </w:rPr>
            </w:pPr>
          </w:p>
        </w:tc>
      </w:tr>
    </w:tbl>
    <w:p w:rsidR="004702B5" w:rsidRDefault="004702B5"/>
    <w:sectPr w:rsidR="004702B5" w:rsidSect="00C54FD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DD"/>
    <w:rsid w:val="004702B5"/>
    <w:rsid w:val="00C54FDD"/>
    <w:rsid w:val="00E323BA"/>
    <w:rsid w:val="00EB2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F457"/>
  <w15:chartTrackingRefBased/>
  <w15:docId w15:val="{9EBE6D44-73CA-4596-BC5B-E6C069ED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F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54FDD"/>
    <w:pPr>
      <w:spacing w:after="200" w:line="240" w:lineRule="auto"/>
    </w:pPr>
    <w:rPr>
      <w:i/>
      <w:iCs/>
      <w:color w:val="44546A"/>
      <w:sz w:val="18"/>
      <w:szCs w:val="18"/>
    </w:rPr>
  </w:style>
  <w:style w:type="table" w:customStyle="1" w:styleId="TableGrid5">
    <w:name w:val="Table Grid5"/>
    <w:basedOn w:val="TableNormal"/>
    <w:next w:val="TableGrid"/>
    <w:uiPriority w:val="39"/>
    <w:rsid w:val="00C54F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54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issah</dc:creator>
  <cp:keywords/>
  <dc:description/>
  <cp:lastModifiedBy>ibrahim issah</cp:lastModifiedBy>
  <cp:revision>3</cp:revision>
  <dcterms:created xsi:type="dcterms:W3CDTF">2020-09-02T15:04:00Z</dcterms:created>
  <dcterms:modified xsi:type="dcterms:W3CDTF">2020-09-03T10:32:00Z</dcterms:modified>
</cp:coreProperties>
</file>