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90" w:rsidRPr="00743389" w:rsidRDefault="00C93290" w:rsidP="00CA6D8C">
      <w:pPr>
        <w:spacing w:before="24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3389">
        <w:rPr>
          <w:rFonts w:ascii="Times New Roman" w:hAnsi="Times New Roman" w:cs="Times New Roman"/>
          <w:b/>
          <w:sz w:val="20"/>
          <w:szCs w:val="20"/>
        </w:rPr>
        <w:t>Supplementary data</w:t>
      </w:r>
    </w:p>
    <w:p w:rsidR="00C93290" w:rsidRPr="00743389" w:rsidRDefault="00C93290" w:rsidP="00C93290">
      <w:pPr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338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4CFCE60" wp14:editId="632D3B53">
            <wp:extent cx="6003066" cy="2377440"/>
            <wp:effectExtent l="0" t="0" r="0" b="3810"/>
            <wp:docPr id="12" name="Picture 12" descr="Description: C:\Users\YASIR\Desktop\NEXT review\Hub genes multi-omics article\cancer stage wise expression\Comb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:\Users\YASIR\Desktop\NEXT review\Hub genes multi-omics article\cancer stage wise expression\Combin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066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9A7" w:rsidRPr="00743389" w:rsidRDefault="00C93290" w:rsidP="00B539A7">
      <w:pPr>
        <w:spacing w:before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3389">
        <w:rPr>
          <w:rFonts w:ascii="Times New Roman" w:hAnsi="Times New Roman" w:cs="Times New Roman"/>
          <w:b/>
          <w:sz w:val="20"/>
          <w:szCs w:val="20"/>
        </w:rPr>
        <w:t>Supplementary data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 xml:space="preserve"> Figure 1:</w:t>
      </w:r>
      <w:r w:rsidRPr="00743389">
        <w:rPr>
          <w:rFonts w:ascii="Times New Roman" w:hAnsi="Times New Roman" w:cs="Times New Roman"/>
          <w:sz w:val="20"/>
          <w:szCs w:val="20"/>
        </w:rPr>
        <w:t> </w:t>
      </w:r>
      <w:r w:rsidRPr="00743389">
        <w:rPr>
          <w:rFonts w:ascii="Times New Roman" w:hAnsi="Times New Roman" w:cs="Times New Roman"/>
          <w:b/>
          <w:sz w:val="20"/>
          <w:szCs w:val="20"/>
        </w:rPr>
        <w:t xml:space="preserve">Relative </w:t>
      </w:r>
      <w:r w:rsidR="00A72134" w:rsidRPr="00743389">
        <w:rPr>
          <w:rFonts w:ascii="Times New Roman" w:hAnsi="Times New Roman" w:cs="Times New Roman"/>
          <w:b/>
          <w:sz w:val="20"/>
          <w:szCs w:val="20"/>
        </w:rPr>
        <w:t xml:space="preserve">transcription </w:t>
      </w:r>
      <w:r w:rsidRPr="00743389">
        <w:rPr>
          <w:rFonts w:ascii="Times New Roman" w:hAnsi="Times New Roman" w:cs="Times New Roman"/>
          <w:b/>
          <w:sz w:val="20"/>
          <w:szCs w:val="20"/>
        </w:rPr>
        <w:t>expression of six hub genes in normal tissues and breast cancer tissues with different breast cancer stages.</w:t>
      </w:r>
      <w:r w:rsidRPr="00743389">
        <w:rPr>
          <w:rFonts w:ascii="Times New Roman" w:hAnsi="Times New Roman" w:cs="Times New Roman"/>
          <w:sz w:val="20"/>
          <w:szCs w:val="20"/>
        </w:rPr>
        <w:t>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(A)</w:t>
      </w:r>
      <w:r w:rsidRPr="00743389">
        <w:rPr>
          <w:rFonts w:ascii="Times New Roman" w:hAnsi="Times New Roman" w:cs="Times New Roman"/>
          <w:sz w:val="20"/>
          <w:szCs w:val="20"/>
        </w:rPr>
        <w:t> CDK1,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(B)</w:t>
      </w:r>
      <w:r w:rsidRPr="00743389">
        <w:rPr>
          <w:rFonts w:ascii="Times New Roman" w:hAnsi="Times New Roman" w:cs="Times New Roman"/>
          <w:sz w:val="20"/>
          <w:szCs w:val="20"/>
        </w:rPr>
        <w:t> FN1,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(C) </w:t>
      </w:r>
      <w:r w:rsidRPr="00743389">
        <w:rPr>
          <w:rFonts w:ascii="Times New Roman" w:hAnsi="Times New Roman" w:cs="Times New Roman"/>
          <w:sz w:val="20"/>
          <w:szCs w:val="20"/>
        </w:rPr>
        <w:t>AURKA,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(D)</w:t>
      </w:r>
      <w:r w:rsidRPr="00743389">
        <w:rPr>
          <w:rFonts w:ascii="Times New Roman" w:hAnsi="Times New Roman" w:cs="Times New Roman"/>
          <w:sz w:val="20"/>
          <w:szCs w:val="20"/>
        </w:rPr>
        <w:t> CCNB2,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(E)</w:t>
      </w:r>
      <w:r w:rsidRPr="00743389">
        <w:rPr>
          <w:rFonts w:ascii="Times New Roman" w:hAnsi="Times New Roman" w:cs="Times New Roman"/>
          <w:sz w:val="20"/>
          <w:szCs w:val="20"/>
        </w:rPr>
        <w:t> BIRC5, and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(F)</w:t>
      </w:r>
      <w:r w:rsidRPr="00743389">
        <w:rPr>
          <w:rFonts w:ascii="Times New Roman" w:hAnsi="Times New Roman" w:cs="Times New Roman"/>
          <w:sz w:val="20"/>
          <w:szCs w:val="20"/>
        </w:rPr>
        <w:t> TOP2A.</w:t>
      </w:r>
      <w:r w:rsidR="00B539A7" w:rsidRPr="0074338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539A7" w:rsidRPr="00743389">
        <w:rPr>
          <w:rFonts w:ascii="Times New Roman" w:hAnsi="Times New Roman" w:cs="Times New Roman"/>
          <w:i/>
          <w:sz w:val="20"/>
          <w:szCs w:val="20"/>
        </w:rPr>
        <w:t>p</w:t>
      </w:r>
      <w:r w:rsidR="00B539A7" w:rsidRPr="00743389">
        <w:rPr>
          <w:rFonts w:ascii="Times New Roman" w:hAnsi="Times New Roman" w:cs="Times New Roman"/>
          <w:sz w:val="20"/>
          <w:szCs w:val="20"/>
        </w:rPr>
        <w:t>-value</w:t>
      </w:r>
      <w:proofErr w:type="gramEnd"/>
      <w:r w:rsidR="00B539A7" w:rsidRPr="00743389">
        <w:rPr>
          <w:rFonts w:ascii="Times New Roman" w:hAnsi="Times New Roman" w:cs="Times New Roman"/>
          <w:sz w:val="20"/>
          <w:szCs w:val="20"/>
        </w:rPr>
        <w:t xml:space="preserve"> (</w:t>
      </w:r>
      <w:r w:rsidR="00B539A7" w:rsidRPr="00743389">
        <w:rPr>
          <w:rFonts w:ascii="Times New Roman" w:hAnsi="Times New Roman" w:cs="Times New Roman"/>
          <w:i/>
          <w:sz w:val="20"/>
          <w:szCs w:val="20"/>
        </w:rPr>
        <w:t>p&lt;0.05)</w:t>
      </w:r>
      <w:r w:rsidR="00B539A7" w:rsidRPr="00743389">
        <w:rPr>
          <w:rFonts w:ascii="Times New Roman" w:hAnsi="Times New Roman" w:cs="Times New Roman"/>
          <w:sz w:val="20"/>
          <w:szCs w:val="20"/>
        </w:rPr>
        <w:t xml:space="preserve"> was used to represent the significance of the correlation between the observed parameters.</w:t>
      </w:r>
    </w:p>
    <w:p w:rsidR="00C93290" w:rsidRPr="00743389" w:rsidRDefault="00C93290" w:rsidP="00C93290">
      <w:pPr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3290" w:rsidRPr="00743389" w:rsidRDefault="00C93290" w:rsidP="00C93290">
      <w:pPr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3290" w:rsidRPr="00743389" w:rsidRDefault="00C93290" w:rsidP="00C93290">
      <w:pPr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338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949C222" wp14:editId="7DA96A2A">
            <wp:extent cx="5935311" cy="1967113"/>
            <wp:effectExtent l="0" t="0" r="0" b="0"/>
            <wp:docPr id="11" name="Picture 11" descr="Description: C:\Users\YASIR\Desktop\NEXT review\Hub genes multi-omics article\Major subclass wise expression data\Comb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YASIR\Desktop\NEXT review\Hub genes multi-omics article\Major subclass wise expression data\Combin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96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9A7" w:rsidRPr="00743389" w:rsidRDefault="00C93290" w:rsidP="00B539A7">
      <w:pPr>
        <w:spacing w:before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3389">
        <w:rPr>
          <w:rFonts w:ascii="Times New Roman" w:hAnsi="Times New Roman" w:cs="Times New Roman"/>
          <w:b/>
          <w:sz w:val="20"/>
          <w:szCs w:val="20"/>
        </w:rPr>
        <w:t xml:space="preserve">Supplementary </w:t>
      </w:r>
      <w:r w:rsidR="00CA6D8C" w:rsidRPr="00743389">
        <w:rPr>
          <w:rFonts w:ascii="Times New Roman" w:hAnsi="Times New Roman" w:cs="Times New Roman"/>
          <w:b/>
          <w:sz w:val="20"/>
          <w:szCs w:val="20"/>
        </w:rPr>
        <w:t>data</w:t>
      </w:r>
      <w:r w:rsidR="00CA6D8C" w:rsidRPr="00743389">
        <w:rPr>
          <w:rFonts w:ascii="Times New Roman" w:hAnsi="Times New Roman" w:cs="Times New Roman"/>
          <w:b/>
          <w:bCs/>
          <w:sz w:val="20"/>
          <w:szCs w:val="20"/>
        </w:rPr>
        <w:t xml:space="preserve"> Figure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 xml:space="preserve"> 2:</w:t>
      </w:r>
      <w:r w:rsidRPr="00743389">
        <w:rPr>
          <w:rFonts w:ascii="Times New Roman" w:hAnsi="Times New Roman" w:cs="Times New Roman"/>
          <w:sz w:val="20"/>
          <w:szCs w:val="20"/>
        </w:rPr>
        <w:t> </w:t>
      </w:r>
      <w:r w:rsidRPr="00743389">
        <w:rPr>
          <w:rFonts w:ascii="Times New Roman" w:hAnsi="Times New Roman" w:cs="Times New Roman"/>
          <w:b/>
          <w:sz w:val="20"/>
          <w:szCs w:val="20"/>
        </w:rPr>
        <w:t xml:space="preserve">Relative </w:t>
      </w:r>
      <w:r w:rsidR="00A72134" w:rsidRPr="00743389">
        <w:rPr>
          <w:rFonts w:ascii="Times New Roman" w:hAnsi="Times New Roman" w:cs="Times New Roman"/>
          <w:b/>
          <w:sz w:val="20"/>
          <w:szCs w:val="20"/>
        </w:rPr>
        <w:t xml:space="preserve">transcription </w:t>
      </w:r>
      <w:r w:rsidRPr="00743389">
        <w:rPr>
          <w:rFonts w:ascii="Times New Roman" w:hAnsi="Times New Roman" w:cs="Times New Roman"/>
          <w:b/>
          <w:sz w:val="20"/>
          <w:szCs w:val="20"/>
        </w:rPr>
        <w:t>expression of six hub genes in normal tissues and breast cance</w:t>
      </w:r>
      <w:r w:rsidR="00B539A7" w:rsidRPr="00743389">
        <w:rPr>
          <w:rFonts w:ascii="Times New Roman" w:hAnsi="Times New Roman" w:cs="Times New Roman"/>
          <w:b/>
          <w:sz w:val="20"/>
          <w:szCs w:val="20"/>
        </w:rPr>
        <w:t xml:space="preserve">r tissues with different </w:t>
      </w:r>
      <w:r w:rsidRPr="00743389">
        <w:rPr>
          <w:rFonts w:ascii="Times New Roman" w:hAnsi="Times New Roman" w:cs="Times New Roman"/>
          <w:b/>
          <w:sz w:val="20"/>
          <w:szCs w:val="20"/>
        </w:rPr>
        <w:t>subclasses.</w:t>
      </w:r>
      <w:r w:rsidRPr="00743389">
        <w:rPr>
          <w:rFonts w:ascii="Times New Roman" w:hAnsi="Times New Roman" w:cs="Times New Roman"/>
          <w:sz w:val="20"/>
          <w:szCs w:val="20"/>
        </w:rPr>
        <w:t>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(A)</w:t>
      </w:r>
      <w:r w:rsidRPr="00743389">
        <w:rPr>
          <w:rFonts w:ascii="Times New Roman" w:hAnsi="Times New Roman" w:cs="Times New Roman"/>
          <w:sz w:val="20"/>
          <w:szCs w:val="20"/>
        </w:rPr>
        <w:t> CDK1,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(B)</w:t>
      </w:r>
      <w:r w:rsidRPr="00743389">
        <w:rPr>
          <w:rFonts w:ascii="Times New Roman" w:hAnsi="Times New Roman" w:cs="Times New Roman"/>
          <w:sz w:val="20"/>
          <w:szCs w:val="20"/>
        </w:rPr>
        <w:t> FN1,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(C) </w:t>
      </w:r>
      <w:r w:rsidRPr="00743389">
        <w:rPr>
          <w:rFonts w:ascii="Times New Roman" w:hAnsi="Times New Roman" w:cs="Times New Roman"/>
          <w:sz w:val="20"/>
          <w:szCs w:val="20"/>
        </w:rPr>
        <w:t>AURKA,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(D)</w:t>
      </w:r>
      <w:r w:rsidRPr="00743389">
        <w:rPr>
          <w:rFonts w:ascii="Times New Roman" w:hAnsi="Times New Roman" w:cs="Times New Roman"/>
          <w:sz w:val="20"/>
          <w:szCs w:val="20"/>
        </w:rPr>
        <w:t> CCNB2,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(E)</w:t>
      </w:r>
      <w:r w:rsidRPr="00743389">
        <w:rPr>
          <w:rFonts w:ascii="Times New Roman" w:hAnsi="Times New Roman" w:cs="Times New Roman"/>
          <w:sz w:val="20"/>
          <w:szCs w:val="20"/>
        </w:rPr>
        <w:t> BIRC5, and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(F)</w:t>
      </w:r>
      <w:r w:rsidRPr="00743389">
        <w:rPr>
          <w:rFonts w:ascii="Times New Roman" w:hAnsi="Times New Roman" w:cs="Times New Roman"/>
          <w:sz w:val="20"/>
          <w:szCs w:val="20"/>
        </w:rPr>
        <w:t> TOP2A.</w:t>
      </w:r>
      <w:r w:rsidR="00B539A7" w:rsidRPr="0074338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539A7" w:rsidRPr="00743389">
        <w:rPr>
          <w:rFonts w:ascii="Times New Roman" w:hAnsi="Times New Roman" w:cs="Times New Roman"/>
          <w:i/>
          <w:sz w:val="20"/>
          <w:szCs w:val="20"/>
        </w:rPr>
        <w:t>p</w:t>
      </w:r>
      <w:r w:rsidR="00B539A7" w:rsidRPr="00743389">
        <w:rPr>
          <w:rFonts w:ascii="Times New Roman" w:hAnsi="Times New Roman" w:cs="Times New Roman"/>
          <w:sz w:val="20"/>
          <w:szCs w:val="20"/>
        </w:rPr>
        <w:t>-value</w:t>
      </w:r>
      <w:proofErr w:type="gramEnd"/>
      <w:r w:rsidR="00B539A7" w:rsidRPr="00743389">
        <w:rPr>
          <w:rFonts w:ascii="Times New Roman" w:hAnsi="Times New Roman" w:cs="Times New Roman"/>
          <w:sz w:val="20"/>
          <w:szCs w:val="20"/>
        </w:rPr>
        <w:t xml:space="preserve"> (</w:t>
      </w:r>
      <w:r w:rsidR="00B539A7" w:rsidRPr="00743389">
        <w:rPr>
          <w:rFonts w:ascii="Times New Roman" w:hAnsi="Times New Roman" w:cs="Times New Roman"/>
          <w:i/>
          <w:sz w:val="20"/>
          <w:szCs w:val="20"/>
        </w:rPr>
        <w:t>p&lt;0.05)</w:t>
      </w:r>
      <w:r w:rsidR="00B539A7" w:rsidRPr="00743389">
        <w:rPr>
          <w:rFonts w:ascii="Times New Roman" w:hAnsi="Times New Roman" w:cs="Times New Roman"/>
          <w:sz w:val="20"/>
          <w:szCs w:val="20"/>
        </w:rPr>
        <w:t xml:space="preserve"> was used to represent the significance of the correlation between the observed parameters.</w:t>
      </w:r>
    </w:p>
    <w:p w:rsidR="00C93290" w:rsidRPr="00743389" w:rsidRDefault="00C93290" w:rsidP="00CA6D8C">
      <w:pPr>
        <w:spacing w:before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3290" w:rsidRPr="00743389" w:rsidRDefault="00C93290" w:rsidP="00C93290">
      <w:pPr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338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675AC8F6" wp14:editId="20DC8160">
            <wp:extent cx="5938520" cy="2764790"/>
            <wp:effectExtent l="0" t="0" r="5080" b="0"/>
            <wp:docPr id="10" name="Picture 10" descr="Description: C:\Users\YASIR\Desktop\NEXT review\Hub genes multi-omics article\Agewise expression\comb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Users\YASIR\Desktop\NEXT review\Hub genes multi-omics article\Agewise expression\combin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90" w:rsidRPr="00743389" w:rsidRDefault="00C93290" w:rsidP="00B539A7">
      <w:pPr>
        <w:spacing w:before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3389">
        <w:rPr>
          <w:rFonts w:ascii="Times New Roman" w:hAnsi="Times New Roman" w:cs="Times New Roman"/>
          <w:b/>
          <w:sz w:val="20"/>
          <w:szCs w:val="20"/>
        </w:rPr>
        <w:t>Supplementary data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 xml:space="preserve"> Figure 3:</w:t>
      </w:r>
      <w:r w:rsidRPr="00743389">
        <w:rPr>
          <w:rFonts w:ascii="Times New Roman" w:hAnsi="Times New Roman" w:cs="Times New Roman"/>
          <w:sz w:val="20"/>
          <w:szCs w:val="20"/>
        </w:rPr>
        <w:t> </w:t>
      </w:r>
      <w:r w:rsidRPr="00743389">
        <w:rPr>
          <w:rFonts w:ascii="Times New Roman" w:hAnsi="Times New Roman" w:cs="Times New Roman"/>
          <w:b/>
          <w:sz w:val="20"/>
          <w:szCs w:val="20"/>
        </w:rPr>
        <w:t xml:space="preserve">Relative </w:t>
      </w:r>
      <w:r w:rsidR="00A72134" w:rsidRPr="00743389">
        <w:rPr>
          <w:rFonts w:ascii="Times New Roman" w:hAnsi="Times New Roman" w:cs="Times New Roman"/>
          <w:b/>
          <w:sz w:val="20"/>
          <w:szCs w:val="20"/>
        </w:rPr>
        <w:t xml:space="preserve">transcription </w:t>
      </w:r>
      <w:r w:rsidRPr="00743389">
        <w:rPr>
          <w:rFonts w:ascii="Times New Roman" w:hAnsi="Times New Roman" w:cs="Times New Roman"/>
          <w:b/>
          <w:sz w:val="20"/>
          <w:szCs w:val="20"/>
        </w:rPr>
        <w:t>expression of six hub genes in normal individual and breast cancer patients with different age groups.</w:t>
      </w:r>
      <w:r w:rsidRPr="00743389">
        <w:rPr>
          <w:rFonts w:ascii="Times New Roman" w:hAnsi="Times New Roman" w:cs="Times New Roman"/>
          <w:sz w:val="20"/>
          <w:szCs w:val="20"/>
        </w:rPr>
        <w:t>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(A)</w:t>
      </w:r>
      <w:r w:rsidRPr="00743389">
        <w:rPr>
          <w:rFonts w:ascii="Times New Roman" w:hAnsi="Times New Roman" w:cs="Times New Roman"/>
          <w:sz w:val="20"/>
          <w:szCs w:val="20"/>
        </w:rPr>
        <w:t> CDK1,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(B)</w:t>
      </w:r>
      <w:r w:rsidRPr="00743389">
        <w:rPr>
          <w:rFonts w:ascii="Times New Roman" w:hAnsi="Times New Roman" w:cs="Times New Roman"/>
          <w:sz w:val="20"/>
          <w:szCs w:val="20"/>
        </w:rPr>
        <w:t> FN1,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(C) </w:t>
      </w:r>
      <w:r w:rsidRPr="00743389">
        <w:rPr>
          <w:rFonts w:ascii="Times New Roman" w:hAnsi="Times New Roman" w:cs="Times New Roman"/>
          <w:sz w:val="20"/>
          <w:szCs w:val="20"/>
        </w:rPr>
        <w:t>AURKA,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(D)</w:t>
      </w:r>
      <w:r w:rsidRPr="00743389">
        <w:rPr>
          <w:rFonts w:ascii="Times New Roman" w:hAnsi="Times New Roman" w:cs="Times New Roman"/>
          <w:sz w:val="20"/>
          <w:szCs w:val="20"/>
        </w:rPr>
        <w:t> CCNB2,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(E)</w:t>
      </w:r>
      <w:r w:rsidRPr="00743389">
        <w:rPr>
          <w:rFonts w:ascii="Times New Roman" w:hAnsi="Times New Roman" w:cs="Times New Roman"/>
          <w:sz w:val="20"/>
          <w:szCs w:val="20"/>
        </w:rPr>
        <w:t> BIRC5, and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(F)</w:t>
      </w:r>
      <w:r w:rsidRPr="00743389">
        <w:rPr>
          <w:rFonts w:ascii="Times New Roman" w:hAnsi="Times New Roman" w:cs="Times New Roman"/>
          <w:sz w:val="20"/>
          <w:szCs w:val="20"/>
        </w:rPr>
        <w:t> TOP2A.</w:t>
      </w:r>
      <w:r w:rsidR="00B539A7" w:rsidRPr="0074338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539A7" w:rsidRPr="00743389">
        <w:rPr>
          <w:rFonts w:ascii="Times New Roman" w:hAnsi="Times New Roman" w:cs="Times New Roman"/>
          <w:i/>
          <w:sz w:val="20"/>
          <w:szCs w:val="20"/>
        </w:rPr>
        <w:t>p</w:t>
      </w:r>
      <w:r w:rsidR="00B539A7" w:rsidRPr="00743389">
        <w:rPr>
          <w:rFonts w:ascii="Times New Roman" w:hAnsi="Times New Roman" w:cs="Times New Roman"/>
          <w:sz w:val="20"/>
          <w:szCs w:val="20"/>
        </w:rPr>
        <w:t>-value</w:t>
      </w:r>
      <w:proofErr w:type="gramEnd"/>
      <w:r w:rsidR="00B539A7" w:rsidRPr="00743389">
        <w:rPr>
          <w:rFonts w:ascii="Times New Roman" w:hAnsi="Times New Roman" w:cs="Times New Roman"/>
          <w:sz w:val="20"/>
          <w:szCs w:val="20"/>
        </w:rPr>
        <w:t xml:space="preserve"> (</w:t>
      </w:r>
      <w:r w:rsidR="00B539A7" w:rsidRPr="00743389">
        <w:rPr>
          <w:rFonts w:ascii="Times New Roman" w:hAnsi="Times New Roman" w:cs="Times New Roman"/>
          <w:i/>
          <w:sz w:val="20"/>
          <w:szCs w:val="20"/>
        </w:rPr>
        <w:t>p&lt;0.05)</w:t>
      </w:r>
      <w:r w:rsidR="00B539A7" w:rsidRPr="00743389">
        <w:rPr>
          <w:rFonts w:ascii="Times New Roman" w:hAnsi="Times New Roman" w:cs="Times New Roman"/>
          <w:sz w:val="20"/>
          <w:szCs w:val="20"/>
        </w:rPr>
        <w:t xml:space="preserve"> was used to represent the significance of the correlation between the observed parameters.</w:t>
      </w:r>
    </w:p>
    <w:p w:rsidR="00C93290" w:rsidRPr="00743389" w:rsidRDefault="00C93290" w:rsidP="00C93290">
      <w:pPr>
        <w:spacing w:before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3290" w:rsidRPr="00743389" w:rsidRDefault="00C93290" w:rsidP="00C93290">
      <w:pPr>
        <w:spacing w:before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3389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465C0AF4" wp14:editId="541D0CA1">
            <wp:extent cx="5938520" cy="2527935"/>
            <wp:effectExtent l="0" t="0" r="5080" b="5715"/>
            <wp:docPr id="5" name="Picture 5" descr="Description: C:\Users\YASIR\Desktop\NEXT review\Hub genes multi-omics article\racewise gene expression\comb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YASIR\Desktop\NEXT review\Hub genes multi-omics article\racewise gene expression\combin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90" w:rsidRPr="00743389" w:rsidRDefault="00C93290" w:rsidP="00B539A7">
      <w:pPr>
        <w:spacing w:before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3389">
        <w:rPr>
          <w:rFonts w:ascii="Times New Roman" w:hAnsi="Times New Roman" w:cs="Times New Roman"/>
          <w:b/>
          <w:sz w:val="20"/>
          <w:szCs w:val="20"/>
        </w:rPr>
        <w:t>Supplementary data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 xml:space="preserve"> Figure 4:</w:t>
      </w:r>
      <w:r w:rsidRPr="00743389">
        <w:rPr>
          <w:rFonts w:ascii="Times New Roman" w:hAnsi="Times New Roman" w:cs="Times New Roman"/>
          <w:sz w:val="20"/>
          <w:szCs w:val="20"/>
        </w:rPr>
        <w:t> </w:t>
      </w:r>
      <w:r w:rsidRPr="00743389">
        <w:rPr>
          <w:rFonts w:ascii="Times New Roman" w:hAnsi="Times New Roman" w:cs="Times New Roman"/>
          <w:b/>
          <w:sz w:val="20"/>
          <w:szCs w:val="20"/>
        </w:rPr>
        <w:t xml:space="preserve">Relative </w:t>
      </w:r>
      <w:r w:rsidR="00A72134" w:rsidRPr="00743389">
        <w:rPr>
          <w:rFonts w:ascii="Times New Roman" w:hAnsi="Times New Roman" w:cs="Times New Roman"/>
          <w:b/>
          <w:sz w:val="20"/>
          <w:szCs w:val="20"/>
        </w:rPr>
        <w:t xml:space="preserve">transcription </w:t>
      </w:r>
      <w:r w:rsidRPr="00743389">
        <w:rPr>
          <w:rFonts w:ascii="Times New Roman" w:hAnsi="Times New Roman" w:cs="Times New Roman"/>
          <w:b/>
          <w:sz w:val="20"/>
          <w:szCs w:val="20"/>
        </w:rPr>
        <w:t>expression of six hub genes in normal individual and breast cancer patients with different races.</w:t>
      </w:r>
      <w:r w:rsidRPr="00743389">
        <w:rPr>
          <w:rFonts w:ascii="Times New Roman" w:hAnsi="Times New Roman" w:cs="Times New Roman"/>
          <w:sz w:val="20"/>
          <w:szCs w:val="20"/>
        </w:rPr>
        <w:t>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(A)</w:t>
      </w:r>
      <w:r w:rsidRPr="00743389">
        <w:rPr>
          <w:rFonts w:ascii="Times New Roman" w:hAnsi="Times New Roman" w:cs="Times New Roman"/>
          <w:sz w:val="20"/>
          <w:szCs w:val="20"/>
        </w:rPr>
        <w:t> CDK1,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(B)</w:t>
      </w:r>
      <w:r w:rsidRPr="00743389">
        <w:rPr>
          <w:rFonts w:ascii="Times New Roman" w:hAnsi="Times New Roman" w:cs="Times New Roman"/>
          <w:sz w:val="20"/>
          <w:szCs w:val="20"/>
        </w:rPr>
        <w:t> FN1,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(C) </w:t>
      </w:r>
      <w:r w:rsidRPr="00743389">
        <w:rPr>
          <w:rFonts w:ascii="Times New Roman" w:hAnsi="Times New Roman" w:cs="Times New Roman"/>
          <w:sz w:val="20"/>
          <w:szCs w:val="20"/>
        </w:rPr>
        <w:t>AURKA,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(D)</w:t>
      </w:r>
      <w:r w:rsidRPr="00743389">
        <w:rPr>
          <w:rFonts w:ascii="Times New Roman" w:hAnsi="Times New Roman" w:cs="Times New Roman"/>
          <w:sz w:val="20"/>
          <w:szCs w:val="20"/>
        </w:rPr>
        <w:t> CCNB2,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(E)</w:t>
      </w:r>
      <w:r w:rsidRPr="00743389">
        <w:rPr>
          <w:rFonts w:ascii="Times New Roman" w:hAnsi="Times New Roman" w:cs="Times New Roman"/>
          <w:sz w:val="20"/>
          <w:szCs w:val="20"/>
        </w:rPr>
        <w:t> BIRC5, and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(F)</w:t>
      </w:r>
      <w:r w:rsidRPr="00743389">
        <w:rPr>
          <w:rFonts w:ascii="Times New Roman" w:hAnsi="Times New Roman" w:cs="Times New Roman"/>
          <w:sz w:val="20"/>
          <w:szCs w:val="20"/>
        </w:rPr>
        <w:t> TOP2A.</w:t>
      </w:r>
      <w:r w:rsidR="00B539A7" w:rsidRPr="0074338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539A7" w:rsidRPr="00743389">
        <w:rPr>
          <w:rFonts w:ascii="Times New Roman" w:hAnsi="Times New Roman" w:cs="Times New Roman"/>
          <w:i/>
          <w:sz w:val="20"/>
          <w:szCs w:val="20"/>
        </w:rPr>
        <w:t>p</w:t>
      </w:r>
      <w:r w:rsidR="00B539A7" w:rsidRPr="00743389">
        <w:rPr>
          <w:rFonts w:ascii="Times New Roman" w:hAnsi="Times New Roman" w:cs="Times New Roman"/>
          <w:sz w:val="20"/>
          <w:szCs w:val="20"/>
        </w:rPr>
        <w:t>-value</w:t>
      </w:r>
      <w:proofErr w:type="gramEnd"/>
      <w:r w:rsidR="00B539A7" w:rsidRPr="00743389">
        <w:rPr>
          <w:rFonts w:ascii="Times New Roman" w:hAnsi="Times New Roman" w:cs="Times New Roman"/>
          <w:sz w:val="20"/>
          <w:szCs w:val="20"/>
        </w:rPr>
        <w:t xml:space="preserve"> (</w:t>
      </w:r>
      <w:r w:rsidR="00B539A7" w:rsidRPr="00743389">
        <w:rPr>
          <w:rFonts w:ascii="Times New Roman" w:hAnsi="Times New Roman" w:cs="Times New Roman"/>
          <w:i/>
          <w:sz w:val="20"/>
          <w:szCs w:val="20"/>
        </w:rPr>
        <w:t>p&lt;0.05)</w:t>
      </w:r>
      <w:r w:rsidR="00B539A7" w:rsidRPr="00743389">
        <w:rPr>
          <w:rFonts w:ascii="Times New Roman" w:hAnsi="Times New Roman" w:cs="Times New Roman"/>
          <w:sz w:val="20"/>
          <w:szCs w:val="20"/>
        </w:rPr>
        <w:t xml:space="preserve"> was used to represent the significance of the correlation between the observed parameters.</w:t>
      </w:r>
    </w:p>
    <w:p w:rsidR="00C93290" w:rsidRPr="00743389" w:rsidRDefault="00C93290" w:rsidP="00C93290">
      <w:pPr>
        <w:spacing w:before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3389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 wp14:anchorId="797A5C18" wp14:editId="662BFC3A">
            <wp:extent cx="5948680" cy="3130550"/>
            <wp:effectExtent l="0" t="0" r="0" b="0"/>
            <wp:docPr id="3" name="Picture 3" descr="Description: C:\Users\YASIR\Desktop\NEXT review\Hub genes multi-omics article\Menopause status wise expression\comb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C:\Users\YASIR\Desktop\NEXT review\Hub genes multi-omics article\Menopause status wise expression\combin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9A7" w:rsidRPr="00743389" w:rsidRDefault="00C93290" w:rsidP="00B539A7">
      <w:pPr>
        <w:spacing w:before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3389">
        <w:rPr>
          <w:rFonts w:ascii="Times New Roman" w:hAnsi="Times New Roman" w:cs="Times New Roman"/>
          <w:b/>
          <w:sz w:val="20"/>
          <w:szCs w:val="20"/>
        </w:rPr>
        <w:t>Supplementary data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 xml:space="preserve"> Figure 5:</w:t>
      </w:r>
      <w:r w:rsidRPr="00743389">
        <w:rPr>
          <w:rFonts w:ascii="Times New Roman" w:hAnsi="Times New Roman" w:cs="Times New Roman"/>
          <w:b/>
          <w:sz w:val="20"/>
          <w:szCs w:val="20"/>
        </w:rPr>
        <w:t xml:space="preserve"> Relative </w:t>
      </w:r>
      <w:r w:rsidR="00A72134" w:rsidRPr="00743389">
        <w:rPr>
          <w:rFonts w:ascii="Times New Roman" w:hAnsi="Times New Roman" w:cs="Times New Roman"/>
          <w:b/>
          <w:sz w:val="20"/>
          <w:szCs w:val="20"/>
        </w:rPr>
        <w:t xml:space="preserve">transcription </w:t>
      </w:r>
      <w:r w:rsidRPr="00743389">
        <w:rPr>
          <w:rFonts w:ascii="Times New Roman" w:hAnsi="Times New Roman" w:cs="Times New Roman"/>
          <w:b/>
          <w:sz w:val="20"/>
          <w:szCs w:val="20"/>
        </w:rPr>
        <w:t>expression of six hub genes in normal individual and breast cancer patients with different menopause status.</w:t>
      </w:r>
      <w:r w:rsidRPr="00743389">
        <w:rPr>
          <w:rFonts w:ascii="Times New Roman" w:hAnsi="Times New Roman" w:cs="Times New Roman"/>
          <w:sz w:val="20"/>
          <w:szCs w:val="20"/>
        </w:rPr>
        <w:t>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(A)</w:t>
      </w:r>
      <w:r w:rsidRPr="00743389">
        <w:rPr>
          <w:rFonts w:ascii="Times New Roman" w:hAnsi="Times New Roman" w:cs="Times New Roman"/>
          <w:sz w:val="20"/>
          <w:szCs w:val="20"/>
        </w:rPr>
        <w:t> CDK1,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(B)</w:t>
      </w:r>
      <w:r w:rsidRPr="00743389">
        <w:rPr>
          <w:rFonts w:ascii="Times New Roman" w:hAnsi="Times New Roman" w:cs="Times New Roman"/>
          <w:sz w:val="20"/>
          <w:szCs w:val="20"/>
        </w:rPr>
        <w:t> FN1,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(C) </w:t>
      </w:r>
      <w:r w:rsidRPr="00743389">
        <w:rPr>
          <w:rFonts w:ascii="Times New Roman" w:hAnsi="Times New Roman" w:cs="Times New Roman"/>
          <w:sz w:val="20"/>
          <w:szCs w:val="20"/>
        </w:rPr>
        <w:t>AURKA,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(D)</w:t>
      </w:r>
      <w:r w:rsidRPr="00743389">
        <w:rPr>
          <w:rFonts w:ascii="Times New Roman" w:hAnsi="Times New Roman" w:cs="Times New Roman"/>
          <w:sz w:val="20"/>
          <w:szCs w:val="20"/>
        </w:rPr>
        <w:t> CCNB2,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(E)</w:t>
      </w:r>
      <w:r w:rsidRPr="00743389">
        <w:rPr>
          <w:rFonts w:ascii="Times New Roman" w:hAnsi="Times New Roman" w:cs="Times New Roman"/>
          <w:sz w:val="20"/>
          <w:szCs w:val="20"/>
        </w:rPr>
        <w:t> BIRC5, and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(F)</w:t>
      </w:r>
      <w:r w:rsidRPr="00743389">
        <w:rPr>
          <w:rFonts w:ascii="Times New Roman" w:hAnsi="Times New Roman" w:cs="Times New Roman"/>
          <w:sz w:val="20"/>
          <w:szCs w:val="20"/>
        </w:rPr>
        <w:t> TOP2A.</w:t>
      </w:r>
      <w:r w:rsidR="00B539A7" w:rsidRPr="0074338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539A7" w:rsidRPr="00743389">
        <w:rPr>
          <w:rFonts w:ascii="Times New Roman" w:hAnsi="Times New Roman" w:cs="Times New Roman"/>
          <w:i/>
          <w:sz w:val="20"/>
          <w:szCs w:val="20"/>
        </w:rPr>
        <w:t>p</w:t>
      </w:r>
      <w:r w:rsidR="00B539A7" w:rsidRPr="00743389">
        <w:rPr>
          <w:rFonts w:ascii="Times New Roman" w:hAnsi="Times New Roman" w:cs="Times New Roman"/>
          <w:sz w:val="20"/>
          <w:szCs w:val="20"/>
        </w:rPr>
        <w:t>-value</w:t>
      </w:r>
      <w:proofErr w:type="gramEnd"/>
      <w:r w:rsidR="00B539A7" w:rsidRPr="00743389">
        <w:rPr>
          <w:rFonts w:ascii="Times New Roman" w:hAnsi="Times New Roman" w:cs="Times New Roman"/>
          <w:sz w:val="20"/>
          <w:szCs w:val="20"/>
        </w:rPr>
        <w:t xml:space="preserve"> (</w:t>
      </w:r>
      <w:r w:rsidR="00B539A7" w:rsidRPr="00743389">
        <w:rPr>
          <w:rFonts w:ascii="Times New Roman" w:hAnsi="Times New Roman" w:cs="Times New Roman"/>
          <w:i/>
          <w:sz w:val="20"/>
          <w:szCs w:val="20"/>
        </w:rPr>
        <w:t>p&lt;0.05)</w:t>
      </w:r>
      <w:r w:rsidR="00B539A7" w:rsidRPr="00743389">
        <w:rPr>
          <w:rFonts w:ascii="Times New Roman" w:hAnsi="Times New Roman" w:cs="Times New Roman"/>
          <w:sz w:val="20"/>
          <w:szCs w:val="20"/>
        </w:rPr>
        <w:t xml:space="preserve"> was used to represent the significance of the correlation between the observed parameters.</w:t>
      </w:r>
    </w:p>
    <w:p w:rsidR="00C93290" w:rsidRPr="00743389" w:rsidRDefault="00C93290" w:rsidP="00CA6D8C">
      <w:pPr>
        <w:spacing w:before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134" w:rsidRPr="00743389" w:rsidRDefault="00A72134">
      <w:pPr>
        <w:rPr>
          <w:sz w:val="20"/>
          <w:szCs w:val="20"/>
        </w:rPr>
      </w:pPr>
      <w:r w:rsidRPr="00743389">
        <w:rPr>
          <w:noProof/>
          <w:sz w:val="20"/>
          <w:szCs w:val="20"/>
        </w:rPr>
        <w:drawing>
          <wp:inline distT="0" distB="0" distL="0" distR="0" wp14:anchorId="4078327C" wp14:editId="5E358AB9">
            <wp:extent cx="5943600" cy="2286000"/>
            <wp:effectExtent l="0" t="0" r="0" b="0"/>
            <wp:docPr id="1" name="Picture 1" descr="C:\Users\YASIR\Desktop\NEXT review\microarray article\Combined article\normal v control p data\comb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IR\Desktop\NEXT review\microarray article\Combined article\normal v control p data\combin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D4E" w:rsidRPr="00743389" w:rsidRDefault="00A72134" w:rsidP="007A69D1">
      <w:pPr>
        <w:spacing w:before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3389">
        <w:rPr>
          <w:sz w:val="20"/>
          <w:szCs w:val="20"/>
        </w:rPr>
        <w:tab/>
      </w:r>
      <w:r w:rsidRPr="00743389">
        <w:rPr>
          <w:rFonts w:ascii="Times New Roman" w:hAnsi="Times New Roman" w:cs="Times New Roman"/>
          <w:b/>
          <w:sz w:val="20"/>
          <w:szCs w:val="20"/>
        </w:rPr>
        <w:t>Supplementary data</w:t>
      </w:r>
      <w:r w:rsidR="000B3F25" w:rsidRPr="00743389">
        <w:rPr>
          <w:rFonts w:ascii="Times New Roman" w:hAnsi="Times New Roman" w:cs="Times New Roman"/>
          <w:b/>
          <w:bCs/>
          <w:sz w:val="20"/>
          <w:szCs w:val="20"/>
        </w:rPr>
        <w:t xml:space="preserve"> Figure 6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743389">
        <w:rPr>
          <w:rFonts w:ascii="Times New Roman" w:hAnsi="Times New Roman" w:cs="Times New Roman"/>
          <w:b/>
          <w:sz w:val="20"/>
          <w:szCs w:val="20"/>
        </w:rPr>
        <w:t> Relative translation expression of six hub genes in normal individual and breast cancer pa</w:t>
      </w:r>
      <w:r w:rsidR="00193017">
        <w:rPr>
          <w:rFonts w:ascii="Times New Roman" w:hAnsi="Times New Roman" w:cs="Times New Roman"/>
          <w:b/>
          <w:sz w:val="20"/>
          <w:szCs w:val="20"/>
        </w:rPr>
        <w:t xml:space="preserve">tients with different menopause </w:t>
      </w:r>
      <w:bookmarkStart w:id="0" w:name="_GoBack"/>
      <w:bookmarkEnd w:id="0"/>
      <w:r w:rsidRPr="00743389">
        <w:rPr>
          <w:rFonts w:ascii="Times New Roman" w:hAnsi="Times New Roman" w:cs="Times New Roman"/>
          <w:b/>
          <w:sz w:val="20"/>
          <w:szCs w:val="20"/>
        </w:rPr>
        <w:t>status.</w:t>
      </w:r>
      <w:r w:rsidRPr="00743389">
        <w:rPr>
          <w:rFonts w:ascii="Times New Roman" w:hAnsi="Times New Roman" w:cs="Times New Roman"/>
          <w:sz w:val="20"/>
          <w:szCs w:val="20"/>
        </w:rPr>
        <w:t>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(A)</w:t>
      </w:r>
      <w:r w:rsidRPr="00743389">
        <w:rPr>
          <w:rFonts w:ascii="Times New Roman" w:hAnsi="Times New Roman" w:cs="Times New Roman"/>
          <w:sz w:val="20"/>
          <w:szCs w:val="20"/>
        </w:rPr>
        <w:t> CDK1,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(B)</w:t>
      </w:r>
      <w:r w:rsidRPr="00743389">
        <w:rPr>
          <w:rFonts w:ascii="Times New Roman" w:hAnsi="Times New Roman" w:cs="Times New Roman"/>
          <w:sz w:val="20"/>
          <w:szCs w:val="20"/>
        </w:rPr>
        <w:t> FN1,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(C) </w:t>
      </w:r>
      <w:r w:rsidRPr="00743389">
        <w:rPr>
          <w:rFonts w:ascii="Times New Roman" w:hAnsi="Times New Roman" w:cs="Times New Roman"/>
          <w:sz w:val="20"/>
          <w:szCs w:val="20"/>
        </w:rPr>
        <w:t>AURKA,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(D)</w:t>
      </w:r>
      <w:r w:rsidRPr="00743389">
        <w:rPr>
          <w:rFonts w:ascii="Times New Roman" w:hAnsi="Times New Roman" w:cs="Times New Roman"/>
          <w:sz w:val="20"/>
          <w:szCs w:val="20"/>
        </w:rPr>
        <w:t> CCNB2,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(E)</w:t>
      </w:r>
      <w:r w:rsidRPr="00743389">
        <w:rPr>
          <w:rFonts w:ascii="Times New Roman" w:hAnsi="Times New Roman" w:cs="Times New Roman"/>
          <w:sz w:val="20"/>
          <w:szCs w:val="20"/>
        </w:rPr>
        <w:t> BIRC5, and </w:t>
      </w:r>
      <w:r w:rsidRPr="00743389">
        <w:rPr>
          <w:rFonts w:ascii="Times New Roman" w:hAnsi="Times New Roman" w:cs="Times New Roman"/>
          <w:b/>
          <w:bCs/>
          <w:sz w:val="20"/>
          <w:szCs w:val="20"/>
        </w:rPr>
        <w:t>(F)</w:t>
      </w:r>
      <w:r w:rsidRPr="00743389">
        <w:rPr>
          <w:rFonts w:ascii="Times New Roman" w:hAnsi="Times New Roman" w:cs="Times New Roman"/>
          <w:sz w:val="20"/>
          <w:szCs w:val="20"/>
        </w:rPr>
        <w:t> TOP2A</w:t>
      </w:r>
      <w:r w:rsidR="007A69D1" w:rsidRPr="00743389">
        <w:rPr>
          <w:rFonts w:ascii="Times New Roman" w:hAnsi="Times New Roman" w:cs="Times New Roman"/>
          <w:sz w:val="20"/>
          <w:szCs w:val="20"/>
        </w:rPr>
        <w:t>. Z-value indicates standard deviations from the median documented across samples of a particular group. The log2 values of spectral count ratio, obtained from CPTAC analysis, were first normalized within profile of each type / group of sample profile followed by normalization across the samples. The number of samples in a particular dataset is represented by n.</w:t>
      </w:r>
    </w:p>
    <w:sectPr w:rsidR="006C4D4E" w:rsidRPr="00743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90"/>
    <w:rsid w:val="000B3F25"/>
    <w:rsid w:val="000C2AF0"/>
    <w:rsid w:val="00193017"/>
    <w:rsid w:val="001C63B2"/>
    <w:rsid w:val="00743389"/>
    <w:rsid w:val="007A69D1"/>
    <w:rsid w:val="00A16161"/>
    <w:rsid w:val="00A72134"/>
    <w:rsid w:val="00B539A7"/>
    <w:rsid w:val="00C93290"/>
    <w:rsid w:val="00CA6D8C"/>
    <w:rsid w:val="00FA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2020-05-11T05:57:00Z</dcterms:created>
  <dcterms:modified xsi:type="dcterms:W3CDTF">2020-08-17T14:46:00Z</dcterms:modified>
</cp:coreProperties>
</file>