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宋体" w:cs="Calibri"/>
          <w:sz w:val="24"/>
          <w:szCs w:val="24"/>
          <w:lang w:val="en-US"/>
        </w:rPr>
      </w:pPr>
      <w:r>
        <w:rPr>
          <w:rFonts w:hint="default" w:ascii="Calibri" w:hAnsi="Calibri" w:eastAsia="宋体" w:cs="Calibri"/>
          <w:b/>
          <w:kern w:val="2"/>
          <w:sz w:val="24"/>
          <w:szCs w:val="24"/>
          <w:lang w:val="en-US" w:eastAsia="zh-CN" w:bidi="ar"/>
        </w:rPr>
        <w:t>Additional file 5: Table. S1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Univariate Cox regression analysis for 48 mRNAs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cs="Calibri"/>
          <w:sz w:val="24"/>
          <w:szCs w:val="24"/>
          <w:lang w:val="en-US"/>
        </w:rPr>
      </w:pP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Gene symbol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HelveticaNeueLTStd-Bd" w:cs="Calibri"/>
                <w:color w:val="231F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HR (95%CI)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i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</w:t>
            </w:r>
            <w:r>
              <w:rPr>
                <w:rFonts w:hint="default" w:ascii="Calibri" w:hAnsi="Calibri" w:eastAsia="HelveticaNeueLTStd-Bd" w:cs="Calibri"/>
                <w:color w:val="231F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PIP4K2A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1.23 (0.96-1.58)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ANKRD29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1.09 (0.79-1.51)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GPD1L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0.87 (0.75-1.01)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PCGF3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 (0.43-0.83)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FGF2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 (0.74-1.28)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HOXB5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0.76 (0.64-0.9)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FASN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1.22 (1.01-1.49)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PPP1R37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0.68 (0.53-0.87)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ORMDL3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0.69 (0.54-0.89)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EGR2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 (0.99-1.45)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HEG1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 (1.07-1.59)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MSANTD2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0.76 (0.52-1.1)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THBS1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1.17 (1.02-1.34)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AIFM3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0.74 (0.58-0.96)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RGS2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1.14 (0.99-1.3)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BCAT2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0.85 (0.72-0.99)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BLCAP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0.85 (0.68-1.06)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ZNF606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0.69 (0.46-1.02)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ACOX1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0.86 (0.72-1.03)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OGT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0.73 (0.55-0.95)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VIM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1.16 (1.01-1.32)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GOLGA8A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0.82 (0.69-0.99)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BTG2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0.92 (0.8-1.05)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ITGB3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 (0.88-1.66)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CFL2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1.22 (0.98-1.5)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SGTB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1.88 (1.26-2.79)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NR3C1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 (0.88-1.37)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0.36 (0.08-1.68)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S1PR1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1.09 (0.9-1.33)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IGF2BP2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1.18 (1.05-1.33)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SATB1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0.79 (0.63-0.99)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KATNAL1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 (1.14-1.98)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ITGA5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 (1.04-1.38)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KLHL23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0.78 (0.59-1.02)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DPYSL2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1.33 (1.11-1.6)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SFRP1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1.08 (0.95-1.22)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CYBRD1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1.17 (1.01-1.37)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LEFTY1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 (0.92-1.57)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CLIC4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1.28 (1.08-1.51)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GOLGA8B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0.84 (0.68-1.06)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KLF9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1.22 (1.01-1.48)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TGFBI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1.18 (1.06-1.31)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CHRDL1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1.07 (0.91-1.26)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FAM129A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1.24 (1.07-1.44)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SHISA6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1.79 (0.75-4.24)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PCDH7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1.11 (0.94-1.29)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NTF3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0.55 (0.31-1)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PRUNE2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1.15 (0.95-1.4)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cs="Calibri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0.141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cs="Calibri"/>
          <w:sz w:val="24"/>
          <w:szCs w:val="24"/>
          <w:lang w:val="en-US"/>
        </w:rPr>
      </w:pPr>
      <w:r>
        <w:rPr>
          <w:rFonts w:hint="default" w:ascii="Calibri" w:hAnsi="Calibri" w:eastAsia="HelveticaNeueLTStd-LtIt" w:cs="Calibri"/>
          <w:color w:val="231F20"/>
          <w:kern w:val="0"/>
          <w:sz w:val="24"/>
          <w:szCs w:val="24"/>
          <w:lang w:val="en-US" w:eastAsia="zh-CN" w:bidi="ar"/>
        </w:rPr>
        <w:t>HR, hazard ratio; CI, confidence interval;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NeueLTStd-Lt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Std-B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2020-08-31T10:14:03Z</dcterms:created>
  <dc:creator>stevenzhou</dc:creator>
  <cp:lastModifiedBy>Bander骑士™</cp:lastModifiedBy>
  <dcterms:modified xsi:type="dcterms:W3CDTF">2020-08-31T10:14:10Z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