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856" w:hanging="431"/>
        <w:jc w:val="both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Supplementary Material</w:t>
      </w:r>
    </w:p>
    <w:p w:rsidR="00000000" w:rsidDel="00000000" w:rsidP="00000000" w:rsidRDefault="00000000" w:rsidRPr="00000000" w14:paraId="00000002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Table S1 - Summary of demographics and clinical data.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Significant group differences are shown in bold (p&lt;0.05). Numbers represent mean ± standard deviation (or percentage). *Data available for 16 patients; ** Data available for 15 patients; BP = Blood Pressure; sSVD=Sporadic Small Vessel Disease.</w:t>
      </w:r>
    </w:p>
    <w:tbl>
      <w:tblPr>
        <w:tblStyle w:val="Table1"/>
        <w:tblW w:w="9322.0" w:type="dxa"/>
        <w:jc w:val="left"/>
        <w:tblInd w:w="0.0" w:type="dxa"/>
        <w:tblLayout w:type="fixed"/>
        <w:tblLook w:val="0600"/>
      </w:tblPr>
      <w:tblGrid>
        <w:gridCol w:w="2977"/>
        <w:gridCol w:w="1815"/>
        <w:gridCol w:w="1515"/>
        <w:gridCol w:w="1170"/>
        <w:gridCol w:w="1845"/>
        <w:tblGridChange w:id="0">
          <w:tblGrid>
            <w:gridCol w:w="2977"/>
            <w:gridCol w:w="1815"/>
            <w:gridCol w:w="1515"/>
            <w:gridCol w:w="1170"/>
            <w:gridCol w:w="1845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SVD (N=17)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Healthy controls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(N = 12)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Group comparison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CADASIL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(N=6)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sSVD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 = 11)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 (years)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 ± 9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 ± 6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0.70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 ± 11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 ± 7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0.44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Sex (% Female)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(77)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(50)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0.14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(67)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(82)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0.28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 (years)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± 6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 ± 4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 &lt; 0.001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± 6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± 5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0.72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Hypertension (%)*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(62)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(20)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(82)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 = 0.02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Systolic BP (mmHg)**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 ± 20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135 ± 22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133 ± 21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0.92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Diastolic BP (mmHg)**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 ± 14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 ± 12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 ± 16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0.97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Diabetes Mellitus (%)*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(6)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(9)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0.49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ind w:right="-46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Hypercholesterolaemia (%)*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(56)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(12)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 (41)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0.38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Previous Stroke (%)*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(25)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(12)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(12)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0.35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Smoker (%)*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(31)</w:t>
            </w:r>
          </w:p>
        </w:tc>
        <w:tc>
          <w:tcPr>
            <w:vMerge w:val="restart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(6)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(24)</w:t>
            </w:r>
          </w:p>
        </w:tc>
        <w:tc>
          <w:tcPr>
            <w:vMerge w:val="continue"/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0.51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History of depression (%)*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(50)</w:t>
            </w:r>
          </w:p>
        </w:tc>
        <w:tc>
          <w:tcPr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(12)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(35)</w:t>
            </w:r>
          </w:p>
        </w:tc>
        <w:tc>
          <w:tcPr>
            <w:vMerge w:val="continue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= 0.59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Comparison between CADASIL and sSVD groups.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48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widowControl w:val="0"/>
        <w:spacing w:after="0" w:before="240" w:line="48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Table S2 – Composite scores used for evaluation of executive function and processing speed: individual tests used to obtain the composite scores. </w:t>
      </w:r>
    </w:p>
    <w:tbl>
      <w:tblPr>
        <w:tblStyle w:val="Table2"/>
        <w:tblW w:w="9345.0" w:type="dxa"/>
        <w:jc w:val="left"/>
        <w:tblInd w:w="0.0" w:type="dxa"/>
        <w:tblLayout w:type="fixed"/>
        <w:tblLook w:val="0400"/>
      </w:tblPr>
      <w:tblGrid>
        <w:gridCol w:w="1485"/>
        <w:gridCol w:w="2385"/>
        <w:gridCol w:w="2970"/>
        <w:gridCol w:w="2505"/>
        <w:tblGridChange w:id="0">
          <w:tblGrid>
            <w:gridCol w:w="1485"/>
            <w:gridCol w:w="2385"/>
            <w:gridCol w:w="2970"/>
            <w:gridCol w:w="250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Cognitive Index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Neuropsychological Test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Measures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Composite Score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Executive Function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Stroop (Fernandes, 2013)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Interference Score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Stroop+TMTB-A=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Average of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-scores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 Making Test (Cavaco et al., 2013)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 B-A - Time to complete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Processing Speed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 Making Test (Cavaco et al., 2013)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 B - Time to complete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TMTA+TMTB=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Average of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-scores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 A - Time to complete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S1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Illustrative examples of FA histograms from all subjects obtained using the different masks: TBSS (left) and NAWM (right);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demonstrating the histogram-based metrics (median and peak width).</w:t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0" distT="0" distL="0" distR="0">
            <wp:extent cx="5495925" cy="36671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S2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Illustrative examples of MD histograms from all subjects obtained using the different masks: TBSS (left) and NAWM (right);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demonstrating the histogram-based metrics (median and peak width).</w:t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0" distT="0" distL="0" distR="0">
            <wp:extent cx="5962650" cy="341122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411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widowControl w:val="0"/>
        <w:spacing w:after="0" w:before="24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S3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Illustrative examples of scatter plots showing the relationship between one DTI metric and both cognitive domains.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this example, the relation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MD peak width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both masks: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TBSS and NAWM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executive function (upper panel) and processing speed (lower panel) are displayed. The correlation coefficients (r), uncorrected p-values and 95% confidence interval (gray area) are reported.</w:t>
      </w:r>
    </w:p>
    <w:p w:rsidR="00000000" w:rsidDel="00000000" w:rsidP="00000000" w:rsidRDefault="00000000" w:rsidRPr="00000000" w14:paraId="000000A1">
      <w:pPr>
        <w:keepNext w:val="1"/>
        <w:widowControl w:val="0"/>
        <w:spacing w:after="0" w:before="24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486400" cy="406717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widowControl w:val="0"/>
        <w:spacing w:after="0" w:before="24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S4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Illustrative examples of scatter plots showing the relationship between one DTI metric and both cognitive domains.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this example, the relation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MD peak height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both masks: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TBSS and NAWM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executive function (upper panel) and processing speed (lower panel) are displayed. The correlation coefficients (r), uncorrected p-values and 95% confidence interval (gray area) are reported.</w:t>
      </w:r>
    </w:p>
    <w:p w:rsidR="00000000" w:rsidDel="00000000" w:rsidP="00000000" w:rsidRDefault="00000000" w:rsidRPr="00000000" w14:paraId="000000A4">
      <w:pPr>
        <w:keepNext w:val="1"/>
        <w:widowControl w:val="0"/>
        <w:spacing w:after="0" w:before="24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486400" cy="389572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9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pgSz w:h="15900" w:w="12280" w:orient="portrait"/>
      <w:pgMar w:bottom="1445" w:top="1445" w:left="1445" w:right="1445" w:header="720" w:footer="720"/>
      <w:pgNumType w:start="3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0"/>
        <w:tab w:val="right" w:pos="9356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858" w:hanging="432.00000000000006"/>
      </w:pPr>
      <w:rPr/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/>
    </w:lvl>
    <w:lvl w:ilvl="3">
      <w:start w:val="1"/>
      <w:numFmt w:val="decimal"/>
      <w:lvlText w:val="%1.%2.%3.%4"/>
      <w:lvlJc w:val="left"/>
      <w:pPr>
        <w:ind w:left="1290" w:hanging="864"/>
      </w:pPr>
      <w:rPr/>
    </w:lvl>
    <w:lvl w:ilvl="4">
      <w:start w:val="1"/>
      <w:numFmt w:val="decimal"/>
      <w:lvlText w:val="%1.%2.%3.%4.%5"/>
      <w:lvlJc w:val="left"/>
      <w:pPr>
        <w:ind w:left="1434" w:hanging="1007"/>
      </w:pPr>
      <w:rPr/>
    </w:lvl>
    <w:lvl w:ilvl="5">
      <w:start w:val="1"/>
      <w:numFmt w:val="decimal"/>
      <w:lvlText w:val="%1.%2.%3.%4.%5.%6"/>
      <w:lvlJc w:val="left"/>
      <w:pPr>
        <w:ind w:left="1578" w:hanging="1152"/>
      </w:pPr>
      <w:rPr/>
    </w:lvl>
    <w:lvl w:ilvl="6">
      <w:start w:val="1"/>
      <w:numFmt w:val="decimal"/>
      <w:lvlText w:val="%1.%2.%3.%4.%5.%6.%7"/>
      <w:lvlJc w:val="left"/>
      <w:pPr>
        <w:ind w:left="1722" w:hanging="1296"/>
      </w:pPr>
      <w:rPr/>
    </w:lvl>
    <w:lvl w:ilvl="7">
      <w:start w:val="1"/>
      <w:numFmt w:val="decimal"/>
      <w:lvlText w:val="%1.%2.%3.%4.%5.%6.%7.%8"/>
      <w:lvlJc w:val="left"/>
      <w:pPr>
        <w:ind w:left="1866" w:hanging="1440"/>
      </w:pPr>
      <w:rPr/>
    </w:lvl>
    <w:lvl w:ilvl="8">
      <w:start w:val="1"/>
      <w:numFmt w:val="decimal"/>
      <w:lvlText w:val="%1.%2.%3.%4.%5.%6.%7.%8.%9"/>
      <w:lvlJc w:val="left"/>
      <w:pPr>
        <w:ind w:left="2010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5DC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466A1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77A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77A8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A4E3D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4E3D"/>
  </w:style>
  <w:style w:type="paragraph" w:styleId="Footer">
    <w:name w:val="footer"/>
    <w:basedOn w:val="Normal"/>
    <w:link w:val="FooterChar"/>
    <w:uiPriority w:val="99"/>
    <w:unhideWhenUsed w:val="1"/>
    <w:rsid w:val="001A4E3D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4E3D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B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B68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B6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B68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B68A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yFQf1cB0TJhTNfwvWBFwT33tQ==">AMUW2mUcFDRHzdzaxZnZQPG+O4GwaQGhrdu6cdDsajffpsJnAXGww6WF+i77xUU21C9kDL+Okn3WhAJqou4L7PhHrRFRvjqXn809WcHiMlJ2epOWx+yMxn8dwyWeOEB73ioILjRFXkSlRVRlQvCkipzj8HiERh7Kg3hAkjlusT9gwo0Fv3Y+V4vEzji9b1YOG+EIFRYXlEbNSkmm+NbvbL5vQmtLyZIClg==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2020-08-07T13:43:00Z</dcterms:created>
  <dc:creator>Ana Fouto</dc:creator>
</cp:coreProperties>
</file>