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39" w:rsidRPr="006A6877" w:rsidRDefault="00C42439" w:rsidP="00C4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7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MediumShading2-Accent3"/>
        <w:tblW w:w="0" w:type="auto"/>
        <w:tblLook w:val="04A0"/>
      </w:tblPr>
      <w:tblGrid>
        <w:gridCol w:w="1101"/>
        <w:gridCol w:w="1842"/>
        <w:gridCol w:w="1843"/>
        <w:gridCol w:w="2268"/>
        <w:gridCol w:w="2188"/>
      </w:tblGrid>
      <w:tr w:rsidR="00C42439" w:rsidRPr="006A6877" w:rsidTr="005123E1">
        <w:trPr>
          <w:cnfStyle w:val="100000000000"/>
        </w:trPr>
        <w:tc>
          <w:tcPr>
            <w:cnfStyle w:val="001000000100"/>
            <w:tcW w:w="9242" w:type="dxa"/>
            <w:gridSpan w:val="5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Table 1</w:t>
            </w:r>
            <w:r w:rsidRPr="006A68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length of  different diet trials</w:t>
            </w:r>
            <w:r w:rsidRPr="006A687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A687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O.niloticus</w:t>
            </w:r>
            <w:proofErr w:type="spellEnd"/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(cm)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Days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 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0.96±0.2121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0.9±0.2578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0.915±0.2636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0.82 ± 0.2760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1.48±0.2627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1.34±0.2223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1.79±0.308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1.16 ± 0.1462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2.06±0.4722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1.8±0.4006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3.345±0.4455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1.6 ± 0.248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2.91±0.5617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2.055±0.3584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2.645±0.2992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2.35 ± 0.2824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3.21±0.4370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2.565±0.4706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4.015±0.1597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3.63 ± 0.341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3.815±0.2617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3.86±0.5277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5.605±0.4806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5.4 ± 0.418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5.175±0.5128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5.03±0.6840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6.455±0.4647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7.1 ± 0.7255</w:t>
            </w:r>
          </w:p>
        </w:tc>
      </w:tr>
    </w:tbl>
    <w:p w:rsidR="00C42439" w:rsidRPr="006A6877" w:rsidRDefault="00C42439" w:rsidP="00C4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39" w:rsidRPr="006A6877" w:rsidRDefault="00C42439" w:rsidP="00C4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3"/>
        <w:tblpPr w:leftFromText="180" w:rightFromText="180" w:vertAnchor="text" w:horzAnchor="margin" w:tblpY="1"/>
        <w:tblW w:w="0" w:type="auto"/>
        <w:tblLook w:val="04A0"/>
      </w:tblPr>
      <w:tblGrid>
        <w:gridCol w:w="1101"/>
        <w:gridCol w:w="1842"/>
        <w:gridCol w:w="1843"/>
        <w:gridCol w:w="2268"/>
        <w:gridCol w:w="2188"/>
      </w:tblGrid>
      <w:tr w:rsidR="00C42439" w:rsidRPr="006A6877" w:rsidTr="005123E1">
        <w:trPr>
          <w:cnfStyle w:val="100000000000"/>
        </w:trPr>
        <w:tc>
          <w:tcPr>
            <w:cnfStyle w:val="001000000100"/>
            <w:tcW w:w="9242" w:type="dxa"/>
            <w:gridSpan w:val="5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Table 2</w:t>
            </w:r>
            <w:r w:rsidRPr="006A68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weight  of  different diet trials</w:t>
            </w:r>
            <w:r w:rsidRPr="006A687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A687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O.niloticus</w:t>
            </w:r>
            <w:proofErr w:type="spellEnd"/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(gm)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Days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 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0.395±0.102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0.275±0.168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0.515±0.1443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0.8±0.387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0.615±0.364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1.155±0.235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0.86±0.162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2.04±0.273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0.87±0.52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1.67±0.288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1.43±0.305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2.37±0.515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1.11±0.301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2.54±0.376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2.06±0.256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3.32±0.223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1.59±0.381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2.895±0.338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2.81±0.3605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5.41±0.428</w:t>
            </w:r>
          </w:p>
        </w:tc>
      </w:tr>
      <w:tr w:rsidR="00C42439" w:rsidRPr="006A6877" w:rsidTr="005123E1">
        <w:trPr>
          <w:cnfStyle w:val="000000100000"/>
        </w:trPr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2.61±0.572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3.4±9.316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4.1±0.276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7.34±0.229</w:t>
            </w:r>
          </w:p>
        </w:tc>
      </w:tr>
      <w:tr w:rsidR="00C42439" w:rsidRPr="006A6877" w:rsidTr="005123E1">
        <w:tc>
          <w:tcPr>
            <w:cnfStyle w:val="001000000000"/>
            <w:tcW w:w="1101" w:type="dxa"/>
          </w:tcPr>
          <w:p w:rsidR="00C42439" w:rsidRPr="006A6877" w:rsidRDefault="00C42439" w:rsidP="005123E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3.645±0.306</w:t>
            </w:r>
          </w:p>
        </w:tc>
        <w:tc>
          <w:tcPr>
            <w:tcW w:w="1843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3.965±0.171</w:t>
            </w:r>
          </w:p>
        </w:tc>
        <w:tc>
          <w:tcPr>
            <w:tcW w:w="226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5.2±0.324</w:t>
            </w:r>
          </w:p>
        </w:tc>
        <w:tc>
          <w:tcPr>
            <w:tcW w:w="2188" w:type="dxa"/>
          </w:tcPr>
          <w:p w:rsidR="00C42439" w:rsidRPr="006A6877" w:rsidRDefault="00C42439" w:rsidP="005123E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>9.68±0.373</w:t>
            </w:r>
          </w:p>
        </w:tc>
      </w:tr>
    </w:tbl>
    <w:p w:rsidR="009D45BE" w:rsidRDefault="00C42439">
      <w:r w:rsidRPr="00C42439">
        <w:lastRenderedPageBreak/>
        <w:drawing>
          <wp:inline distT="0" distB="0" distL="0" distR="0">
            <wp:extent cx="5731510" cy="2690013"/>
            <wp:effectExtent l="19050" t="0" r="21590" b="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439" w:rsidRDefault="00C42439"/>
    <w:p w:rsidR="00C42439" w:rsidRDefault="00C42439">
      <w:r w:rsidRPr="00C42439">
        <w:drawing>
          <wp:inline distT="0" distB="0" distL="0" distR="0">
            <wp:extent cx="5731510" cy="2447925"/>
            <wp:effectExtent l="19050" t="0" r="21590" b="0"/>
            <wp:docPr id="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2439" w:rsidRDefault="00C42439">
      <w:r w:rsidRPr="00C42439">
        <w:drawing>
          <wp:inline distT="0" distB="0" distL="0" distR="0">
            <wp:extent cx="5731510" cy="2690013"/>
            <wp:effectExtent l="19050" t="0" r="215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439" w:rsidRDefault="00C42439">
      <w:r w:rsidRPr="00C42439">
        <w:lastRenderedPageBreak/>
        <w:drawing>
          <wp:inline distT="0" distB="0" distL="0" distR="0">
            <wp:extent cx="5731510" cy="2690013"/>
            <wp:effectExtent l="19050" t="0" r="21590" b="0"/>
            <wp:docPr id="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2439" w:rsidRDefault="00C42439">
      <w:r w:rsidRPr="00C42439">
        <w:drawing>
          <wp:inline distT="0" distB="0" distL="0" distR="0">
            <wp:extent cx="5731510" cy="2690013"/>
            <wp:effectExtent l="19050" t="0" r="21590" b="0"/>
            <wp:docPr id="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42439" w:rsidSect="00F5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42439"/>
    <w:rsid w:val="000416FD"/>
    <w:rsid w:val="00627F10"/>
    <w:rsid w:val="00C42439"/>
    <w:rsid w:val="00F5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C42439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NA%20GRACE.B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NA%20GRACE.B\Desktop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NA%20GRACE.B\Desktop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NA%20GRACE.B\Desktop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NA%20GRACE.B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5"/>
  <c:chart>
    <c:title>
      <c:tx>
        <c:rich>
          <a:bodyPr/>
          <a:lstStyle/>
          <a:p>
            <a:pPr>
              <a:defRPr/>
            </a:pPr>
            <a:r>
              <a:rPr lang="en-IN"/>
              <a:t>Figure 1 Relative growth  in different feeds of </a:t>
            </a:r>
            <a:r>
              <a:rPr lang="en-IN" i="1"/>
              <a:t>O.niloticus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Sheet1!$B$2:$E$2</c:f>
              <c:strCache>
                <c:ptCount val="4"/>
                <c:pt idx="0">
                  <c:v>CD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7.73</c:v>
                </c:pt>
                <c:pt idx="1">
                  <c:v>8.8600000000000048</c:v>
                </c:pt>
                <c:pt idx="2">
                  <c:v>10.38</c:v>
                </c:pt>
                <c:pt idx="3">
                  <c:v>11.91</c:v>
                </c:pt>
              </c:numCache>
            </c:numRef>
          </c:val>
        </c:ser>
        <c:shape val="cylinder"/>
        <c:axId val="68256512"/>
        <c:axId val="68258048"/>
        <c:axId val="0"/>
      </c:bar3DChart>
      <c:catAx>
        <c:axId val="68256512"/>
        <c:scaling>
          <c:orientation val="minMax"/>
        </c:scaling>
        <c:axPos val="b"/>
        <c:tickLblPos val="nextTo"/>
        <c:crossAx val="68258048"/>
        <c:crosses val="autoZero"/>
        <c:auto val="1"/>
        <c:lblAlgn val="ctr"/>
        <c:lblOffset val="100"/>
      </c:catAx>
      <c:valAx>
        <c:axId val="68258048"/>
        <c:scaling>
          <c:orientation val="minMax"/>
        </c:scaling>
        <c:axPos val="l"/>
        <c:majorGridlines/>
        <c:numFmt formatCode="General" sourceLinked="1"/>
        <c:tickLblPos val="nextTo"/>
        <c:crossAx val="68256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5"/>
  <c:chart>
    <c:title>
      <c:tx>
        <c:rich>
          <a:bodyPr/>
          <a:lstStyle/>
          <a:p>
            <a:pPr>
              <a:defRPr/>
            </a:pPr>
            <a:r>
              <a:rPr lang="en-IN"/>
              <a:t>Figure 2 Relative growth rate in different feeds of </a:t>
            </a:r>
            <a:r>
              <a:rPr lang="en-IN" i="1"/>
              <a:t>O.niloticus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Sheet1!$B$2:$E$2</c:f>
              <c:strCache>
                <c:ptCount val="4"/>
                <c:pt idx="0">
                  <c:v>CD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0.10299999999999998</c:v>
                </c:pt>
                <c:pt idx="1">
                  <c:v>0.53800000000000003</c:v>
                </c:pt>
                <c:pt idx="2">
                  <c:v>1.1180000000000001</c:v>
                </c:pt>
                <c:pt idx="3">
                  <c:v>1.5580000000000001</c:v>
                </c:pt>
              </c:numCache>
            </c:numRef>
          </c:val>
        </c:ser>
        <c:shape val="cylinder"/>
        <c:axId val="52685440"/>
        <c:axId val="53244288"/>
        <c:axId val="0"/>
      </c:bar3DChart>
      <c:catAx>
        <c:axId val="52685440"/>
        <c:scaling>
          <c:orientation val="minMax"/>
        </c:scaling>
        <c:axPos val="b"/>
        <c:tickLblPos val="nextTo"/>
        <c:crossAx val="53244288"/>
        <c:crosses val="autoZero"/>
        <c:auto val="1"/>
        <c:lblAlgn val="ctr"/>
        <c:lblOffset val="100"/>
      </c:catAx>
      <c:valAx>
        <c:axId val="53244288"/>
        <c:scaling>
          <c:orientation val="minMax"/>
        </c:scaling>
        <c:axPos val="l"/>
        <c:majorGridlines/>
        <c:numFmt formatCode="General" sourceLinked="1"/>
        <c:tickLblPos val="nextTo"/>
        <c:crossAx val="526854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5"/>
  <c:chart>
    <c:title>
      <c:tx>
        <c:rich>
          <a:bodyPr/>
          <a:lstStyle/>
          <a:p>
            <a:pPr>
              <a:defRPr/>
            </a:pPr>
            <a:r>
              <a:rPr lang="en-IN"/>
              <a:t>Figure 3 Specific growth rate in different feeds of </a:t>
            </a:r>
            <a:r>
              <a:rPr lang="en-IN" i="1"/>
              <a:t>O.niloticus</a:t>
            </a:r>
            <a:endParaRPr lang="en-IN" i="0"/>
          </a:p>
        </c:rich>
      </c:tx>
      <c:layout>
        <c:manualLayout>
          <c:xMode val="edge"/>
          <c:yMode val="edge"/>
          <c:x val="0.13247276895617385"/>
          <c:y val="0"/>
        </c:manualLayout>
      </c:layout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Sheet1!$B$2:$E$2</c:f>
              <c:strCache>
                <c:ptCount val="4"/>
                <c:pt idx="0">
                  <c:v>CD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0.80200000000000005</c:v>
                </c:pt>
                <c:pt idx="1">
                  <c:v>1.230999999999995</c:v>
                </c:pt>
                <c:pt idx="2">
                  <c:v>1.6960000000000042</c:v>
                </c:pt>
                <c:pt idx="3">
                  <c:v>1.9139999999999953</c:v>
                </c:pt>
              </c:numCache>
            </c:numRef>
          </c:val>
        </c:ser>
        <c:shape val="cylinder"/>
        <c:axId val="53366784"/>
        <c:axId val="53368320"/>
        <c:axId val="0"/>
      </c:bar3DChart>
      <c:catAx>
        <c:axId val="53366784"/>
        <c:scaling>
          <c:orientation val="minMax"/>
        </c:scaling>
        <c:axPos val="b"/>
        <c:tickLblPos val="nextTo"/>
        <c:crossAx val="53368320"/>
        <c:crosses val="autoZero"/>
        <c:auto val="1"/>
        <c:lblAlgn val="ctr"/>
        <c:lblOffset val="100"/>
      </c:catAx>
      <c:valAx>
        <c:axId val="53368320"/>
        <c:scaling>
          <c:orientation val="minMax"/>
        </c:scaling>
        <c:axPos val="l"/>
        <c:majorGridlines/>
        <c:numFmt formatCode="General" sourceLinked="1"/>
        <c:tickLblPos val="nextTo"/>
        <c:crossAx val="533667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5"/>
  <c:chart>
    <c:title>
      <c:tx>
        <c:rich>
          <a:bodyPr/>
          <a:lstStyle/>
          <a:p>
            <a:pPr>
              <a:defRPr/>
            </a:pPr>
            <a:r>
              <a:rPr lang="en-IN"/>
              <a:t>Figure 4 Feed conversion ratio in different feeds of </a:t>
            </a:r>
            <a:r>
              <a:rPr lang="en-IN" i="1"/>
              <a:t>O.niloticus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Sheet1!$B$2:$E$2</c:f>
              <c:strCache>
                <c:ptCount val="4"/>
                <c:pt idx="0">
                  <c:v>CD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42.86</c:v>
                </c:pt>
                <c:pt idx="2">
                  <c:v>47.36</c:v>
                </c:pt>
                <c:pt idx="3">
                  <c:v>58.06</c:v>
                </c:pt>
              </c:numCache>
            </c:numRef>
          </c:val>
        </c:ser>
        <c:shape val="cylinder"/>
        <c:axId val="53388416"/>
        <c:axId val="53389952"/>
        <c:axId val="0"/>
      </c:bar3DChart>
      <c:catAx>
        <c:axId val="53388416"/>
        <c:scaling>
          <c:orientation val="minMax"/>
        </c:scaling>
        <c:axPos val="b"/>
        <c:tickLblPos val="nextTo"/>
        <c:crossAx val="53389952"/>
        <c:crosses val="autoZero"/>
        <c:auto val="1"/>
        <c:lblAlgn val="ctr"/>
        <c:lblOffset val="100"/>
      </c:catAx>
      <c:valAx>
        <c:axId val="53389952"/>
        <c:scaling>
          <c:orientation val="minMax"/>
        </c:scaling>
        <c:axPos val="l"/>
        <c:majorGridlines/>
        <c:numFmt formatCode="General" sourceLinked="1"/>
        <c:tickLblPos val="nextTo"/>
        <c:crossAx val="533884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5"/>
  <c:chart>
    <c:title>
      <c:tx>
        <c:rich>
          <a:bodyPr/>
          <a:lstStyle/>
          <a:p>
            <a:pPr>
              <a:defRPr/>
            </a:pPr>
            <a:r>
              <a:rPr lang="en-IN"/>
              <a:t>Figure 5 Fulton's condition factor changes in different feeds of </a:t>
            </a:r>
            <a:r>
              <a:rPr lang="en-IN" i="1"/>
              <a:t>O.niloticus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Sheet1!$B$2:$E$2</c:f>
              <c:strCache>
                <c:ptCount val="4"/>
                <c:pt idx="0">
                  <c:v>CD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64.8</c:v>
                </c:pt>
                <c:pt idx="1">
                  <c:v>66.669999999999987</c:v>
                </c:pt>
                <c:pt idx="2">
                  <c:v>72.959999999999994</c:v>
                </c:pt>
                <c:pt idx="3">
                  <c:v>88.32</c:v>
                </c:pt>
              </c:numCache>
            </c:numRef>
          </c:val>
        </c:ser>
        <c:shape val="cylinder"/>
        <c:axId val="53831936"/>
        <c:axId val="53858304"/>
        <c:axId val="0"/>
      </c:bar3DChart>
      <c:catAx>
        <c:axId val="53831936"/>
        <c:scaling>
          <c:orientation val="minMax"/>
        </c:scaling>
        <c:axPos val="b"/>
        <c:tickLblPos val="nextTo"/>
        <c:crossAx val="53858304"/>
        <c:crosses val="autoZero"/>
        <c:auto val="1"/>
        <c:lblAlgn val="ctr"/>
        <c:lblOffset val="100"/>
      </c:catAx>
      <c:valAx>
        <c:axId val="53858304"/>
        <c:scaling>
          <c:orientation val="minMax"/>
        </c:scaling>
        <c:axPos val="l"/>
        <c:majorGridlines/>
        <c:numFmt formatCode="General" sourceLinked="1"/>
        <c:tickLblPos val="nextTo"/>
        <c:crossAx val="538319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GRACE.B</dc:creator>
  <cp:keywords/>
  <dc:description/>
  <cp:lastModifiedBy>LEENA GRACE.B</cp:lastModifiedBy>
  <cp:revision>2</cp:revision>
  <dcterms:created xsi:type="dcterms:W3CDTF">2021-05-29T05:48:00Z</dcterms:created>
  <dcterms:modified xsi:type="dcterms:W3CDTF">2021-05-29T05:50:00Z</dcterms:modified>
</cp:coreProperties>
</file>