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54ED" w14:textId="77777777" w:rsidR="00A65E4E" w:rsidRDefault="00A65E4E" w:rsidP="00A65E4E">
      <w:pPr>
        <w:spacing w:line="276" w:lineRule="auto"/>
        <w:jc w:val="center"/>
        <w:rPr>
          <w:b/>
          <w:sz w:val="28"/>
          <w:szCs w:val="24"/>
          <w:lang w:val="en-GB"/>
        </w:rPr>
      </w:pPr>
      <w:r w:rsidRPr="00AF6BE1">
        <w:rPr>
          <w:b/>
          <w:sz w:val="28"/>
          <w:szCs w:val="24"/>
          <w:lang w:val="en-GB"/>
        </w:rPr>
        <w:t xml:space="preserve">Specific expression of lactate dehydrogenases </w:t>
      </w:r>
      <w:r>
        <w:rPr>
          <w:b/>
          <w:sz w:val="28"/>
          <w:szCs w:val="24"/>
          <w:lang w:val="en-GB"/>
        </w:rPr>
        <w:t>in</w:t>
      </w:r>
      <w:r w:rsidRPr="00AF6BE1">
        <w:rPr>
          <w:b/>
          <w:sz w:val="28"/>
          <w:szCs w:val="24"/>
          <w:lang w:val="en-GB"/>
        </w:rPr>
        <w:t xml:space="preserve"> glioblastoma controls intercellular lactate transfer to promote tumor growth</w:t>
      </w:r>
      <w:r>
        <w:rPr>
          <w:b/>
          <w:sz w:val="28"/>
          <w:szCs w:val="24"/>
          <w:lang w:val="en-GB"/>
        </w:rPr>
        <w:t xml:space="preserve"> and invasion</w:t>
      </w:r>
    </w:p>
    <w:p w14:paraId="018EC10C" w14:textId="77777777" w:rsidR="00A65E4E" w:rsidRPr="00022CB7" w:rsidRDefault="00A65E4E" w:rsidP="00A65E4E">
      <w:pPr>
        <w:spacing w:line="276" w:lineRule="auto"/>
        <w:rPr>
          <w:lang w:val="en-GB"/>
        </w:rPr>
      </w:pPr>
    </w:p>
    <w:p w14:paraId="2CC99FF6" w14:textId="77777777" w:rsidR="00A65E4E" w:rsidRPr="00022CB7" w:rsidRDefault="00A65E4E" w:rsidP="00A65E4E">
      <w:pPr>
        <w:spacing w:line="276" w:lineRule="auto"/>
        <w:rPr>
          <w:lang w:val="en-GB"/>
        </w:rPr>
      </w:pPr>
      <w:bookmarkStart w:id="0" w:name="_GoBack"/>
      <w:bookmarkEnd w:id="0"/>
    </w:p>
    <w:p w14:paraId="4E0A7184" w14:textId="77777777" w:rsidR="00A65E4E" w:rsidRPr="002318A6" w:rsidRDefault="00A65E4E" w:rsidP="00A65E4E">
      <w:pPr>
        <w:spacing w:line="276" w:lineRule="auto"/>
        <w:rPr>
          <w:lang w:val="en-GB"/>
        </w:rPr>
      </w:pPr>
      <w:r w:rsidRPr="00022CB7">
        <w:rPr>
          <w:b/>
          <w:lang w:val="en-GB"/>
        </w:rPr>
        <w:t xml:space="preserve">Key words: </w:t>
      </w:r>
      <w:r w:rsidRPr="00022CB7">
        <w:rPr>
          <w:lang w:val="en-GB"/>
        </w:rPr>
        <w:t xml:space="preserve">Glioblastoma, </w:t>
      </w:r>
      <w:r>
        <w:rPr>
          <w:lang w:val="en-GB"/>
        </w:rPr>
        <w:t>lactate dehydrogenases,</w:t>
      </w:r>
      <w:r w:rsidRPr="00022CB7">
        <w:rPr>
          <w:lang w:val="en-GB"/>
        </w:rPr>
        <w:t xml:space="preserve"> </w:t>
      </w:r>
      <w:r>
        <w:rPr>
          <w:lang w:val="en-GB"/>
        </w:rPr>
        <w:t xml:space="preserve">energy metabolism, </w:t>
      </w:r>
      <w:r w:rsidRPr="00022CB7">
        <w:rPr>
          <w:lang w:val="en-GB"/>
        </w:rPr>
        <w:t>invasion</w:t>
      </w:r>
      <w:r>
        <w:rPr>
          <w:lang w:val="en-GB"/>
        </w:rPr>
        <w:t xml:space="preserve">, antiepileptic drug. </w:t>
      </w:r>
    </w:p>
    <w:p w14:paraId="01B1A3EF" w14:textId="77777777" w:rsidR="00A65E4E" w:rsidRPr="00022CB7" w:rsidRDefault="00A65E4E" w:rsidP="00A65E4E">
      <w:pPr>
        <w:spacing w:line="276" w:lineRule="auto"/>
        <w:rPr>
          <w:lang w:val="en-GB"/>
        </w:rPr>
      </w:pPr>
    </w:p>
    <w:p w14:paraId="16EAA62C" w14:textId="77777777" w:rsidR="00A65E4E" w:rsidRPr="00081A76" w:rsidRDefault="00A65E4E" w:rsidP="00A65E4E">
      <w:pPr>
        <w:spacing w:line="276" w:lineRule="auto"/>
        <w:rPr>
          <w:lang w:val="en-GB"/>
        </w:rPr>
      </w:pPr>
      <w:r w:rsidRPr="00022CB7">
        <w:rPr>
          <w:b/>
          <w:lang w:val="en-GB"/>
        </w:rPr>
        <w:t xml:space="preserve">Short title: </w:t>
      </w:r>
      <w:r w:rsidRPr="00081A76">
        <w:rPr>
          <w:lang w:val="en-GB"/>
        </w:rPr>
        <w:t xml:space="preserve">lactate dehydrogenases in </w:t>
      </w:r>
      <w:r>
        <w:rPr>
          <w:lang w:val="en-GB"/>
        </w:rPr>
        <w:t>GBM</w:t>
      </w:r>
      <w:r w:rsidRPr="00081A76">
        <w:rPr>
          <w:lang w:val="en-GB"/>
        </w:rPr>
        <w:t xml:space="preserve"> development</w:t>
      </w:r>
    </w:p>
    <w:p w14:paraId="11FDA954" w14:textId="77777777" w:rsidR="009D43A2" w:rsidRPr="00A65E4E" w:rsidRDefault="009D43A2" w:rsidP="00AC6672">
      <w:pPr>
        <w:rPr>
          <w:b/>
          <w:sz w:val="24"/>
          <w:u w:val="single"/>
          <w:lang w:val="en-GB"/>
        </w:rPr>
      </w:pPr>
    </w:p>
    <w:p w14:paraId="40C9D3DE" w14:textId="77777777" w:rsidR="002919F3" w:rsidRDefault="002919F3">
      <w:pPr>
        <w:tabs>
          <w:tab w:val="clear" w:pos="7240"/>
        </w:tabs>
        <w:spacing w:line="240" w:lineRule="auto"/>
        <w:jc w:val="left"/>
        <w:rPr>
          <w:b/>
          <w:sz w:val="24"/>
          <w:u w:val="single"/>
        </w:rPr>
      </w:pPr>
      <w:r>
        <w:rPr>
          <w:b/>
          <w:sz w:val="24"/>
          <w:u w:val="single"/>
        </w:rPr>
        <w:br w:type="page"/>
      </w:r>
    </w:p>
    <w:p w14:paraId="419D92D4" w14:textId="76031912" w:rsidR="00AC6672" w:rsidRDefault="00AC6672" w:rsidP="00140F71">
      <w:pPr>
        <w:rPr>
          <w:b/>
          <w:sz w:val="24"/>
          <w:u w:val="single"/>
        </w:rPr>
      </w:pPr>
      <w:r w:rsidRPr="005A3730">
        <w:rPr>
          <w:b/>
          <w:sz w:val="24"/>
          <w:u w:val="single"/>
        </w:rPr>
        <w:lastRenderedPageBreak/>
        <w:t>Supplementary Figure</w:t>
      </w:r>
      <w:r w:rsidR="00AE6D8E">
        <w:rPr>
          <w:b/>
          <w:sz w:val="24"/>
          <w:u w:val="single"/>
        </w:rPr>
        <w:t xml:space="preserve"> Legends</w:t>
      </w:r>
    </w:p>
    <w:p w14:paraId="6FE5D06E" w14:textId="77777777" w:rsidR="00176EAF" w:rsidRPr="005A3730" w:rsidRDefault="00176EAF" w:rsidP="00140F71">
      <w:pPr>
        <w:rPr>
          <w:b/>
          <w:sz w:val="24"/>
          <w:u w:val="single"/>
        </w:rPr>
      </w:pPr>
    </w:p>
    <w:p w14:paraId="5516A435" w14:textId="5B305192" w:rsidR="00AC6672" w:rsidRDefault="00AC6672" w:rsidP="00140F71">
      <w:pPr>
        <w:rPr>
          <w:b/>
          <w:u w:val="single"/>
        </w:rPr>
      </w:pPr>
      <w:r w:rsidRPr="00BA2DC6">
        <w:rPr>
          <w:b/>
        </w:rPr>
        <w:t>Suppl</w:t>
      </w:r>
      <w:r w:rsidR="009D43A2" w:rsidRPr="00BA2DC6">
        <w:rPr>
          <w:b/>
        </w:rPr>
        <w:t>ementary</w:t>
      </w:r>
      <w:r w:rsidRPr="00BA2DC6">
        <w:rPr>
          <w:b/>
        </w:rPr>
        <w:t xml:space="preserve"> Figure 1:</w:t>
      </w:r>
      <w:r w:rsidR="00DC7192" w:rsidRPr="00BA2DC6">
        <w:rPr>
          <w:b/>
        </w:rPr>
        <w:t xml:space="preserve"> </w:t>
      </w:r>
      <w:r w:rsidR="005C72F8" w:rsidRPr="00BA2DC6">
        <w:rPr>
          <w:b/>
        </w:rPr>
        <w:t>Expression of LDHA and LDHB in publicly available databases (</w:t>
      </w:r>
      <w:r w:rsidR="00AE5AC5" w:rsidRPr="00BA2DC6">
        <w:rPr>
          <w:b/>
        </w:rPr>
        <w:t>Extended</w:t>
      </w:r>
      <w:r w:rsidR="00745146" w:rsidRPr="00BA2DC6">
        <w:rPr>
          <w:b/>
        </w:rPr>
        <w:t xml:space="preserve"> data Figure 1</w:t>
      </w:r>
      <w:r w:rsidR="005C72F8" w:rsidRPr="00BA2DC6">
        <w:rPr>
          <w:b/>
        </w:rPr>
        <w:t>)</w:t>
      </w:r>
      <w:r w:rsidR="005C72F8" w:rsidRPr="005C72F8">
        <w:rPr>
          <w:b/>
        </w:rPr>
        <w:t xml:space="preserve"> </w:t>
      </w:r>
    </w:p>
    <w:p w14:paraId="60A6733F" w14:textId="15734575" w:rsidR="00AC6672" w:rsidRDefault="00AC6672" w:rsidP="00140F71">
      <w:r w:rsidRPr="006911D5">
        <w:rPr>
          <w:b/>
        </w:rPr>
        <w:t>a.</w:t>
      </w:r>
      <w:r>
        <w:t xml:space="preserve"> </w:t>
      </w:r>
      <w:r w:rsidR="007279BA">
        <w:t>Correlation between gene expression of LDHA and LDHB and cell localization based on single cell RNA sequencing data extracted from Darmanis et al.</w:t>
      </w:r>
      <w:r w:rsidR="007279BA">
        <w:fldChar w:fldCharType="begin"/>
      </w:r>
      <w:r w:rsidR="007279BA">
        <w:instrText xml:space="preserve"> ADDIN ZOTERO_ITEM CSL_CITATION {"citationID":"IfyWL1qf","properties":{"formattedCitation":"\\super 1\\nosupersub{}","plainCitation":"1","noteIndex":0},"citationItems":[{"id":324,"uris":["http://zotero.org/users/local/CYmw5IYM/items/J8HH4LAR"],"uri":["http://zotero.org/users/local/CYmw5IYM/items/J8HH4LAR"],"itemData":{"id":324,"type":"article-journal","abstract":"Glioblastoma (GBM) is the most common primary brain cancer in adults and is notoriously difficult to treat because of its diffuse nature. We performed single-cell RNA sequencing (RNA-seq) on 3,589 cells in a cohort of four patients. We obtained cells from the tumor core as well as surrounding peripheral tissue. Our analysis revealed cellular variation in the tumor's genome and transcriptome. We were also able to identify infiltrating neoplastic cells in regions peripheral to the core lesions. Despite the existence of significant heterogeneity among neoplastic cells, we found that infiltrating GBM cells share a consistent gene signature between patients, suggesting a common mechanism of infiltration. Additionally, in investigating the immunological response to the tumors, we found transcriptionally distinct myeloid cell populations residing in the tumor core and the surrounding peritumoral space. Our data provide a detailed dissection of GBM cell types, revealing an abundance of information about tumor formation and migration.","container-title":"Cell Reports","DOI":"10.1016/j.celrep.2017.10.030","ISSN":"2211-1247","issue":"5","journalAbbreviation":"Cell Rep","language":"eng","note":"PMID: 29091775\nPMCID: PMC5810554","page":"1399-1410","source":"PubMed","title":"Single-Cell RNA-Seq Analysis of Infiltrating Neoplastic Cells at the Migrating Front of Human Glioblastoma","volume":"21","author":[{"family":"Darmanis","given":"Spyros"},{"family":"Sloan","given":"Steven A."},{"family":"Croote","given":"Derek"},{"family":"Mignardi","given":"Marco"},{"family":"Chernikova","given":"Sophia"},{"family":"Samghababi","given":"Peyman"},{"family":"Zhang","given":"Ye"},{"family":"Neff","given":"Norma"},{"family":"Kowarsky","given":"Mark"},{"family":"Caneda","given":"Christine"},{"family":"Li","given":"Gordon"},{"family":"Chang","given":"Steven D."},{"family":"Connolly","given":"Ian David"},{"family":"Li","given":"Yingmei"},{"family":"Barres","given":"Ben A."},{"family":"Gephart","given":"Melanie Hayden"},{"family":"Quake","given":"Stephen R."}],"issued":{"date-parts":[["2017",10,31]]}}}],"schema":"https://github.com/citation-style-language/schema/raw/master/csl-citation.json"} </w:instrText>
      </w:r>
      <w:r w:rsidR="007279BA">
        <w:fldChar w:fldCharType="separate"/>
      </w:r>
      <w:r w:rsidR="007279BA" w:rsidRPr="007279BA">
        <w:rPr>
          <w:vertAlign w:val="superscript"/>
        </w:rPr>
        <w:t>1</w:t>
      </w:r>
      <w:r w:rsidR="007279BA">
        <w:fldChar w:fldCharType="end"/>
      </w:r>
      <w:r w:rsidR="007279BA">
        <w:t xml:space="preserve"> (1010 tumor cells and 62 periphery cells).</w:t>
      </w:r>
      <w:r w:rsidR="007279BA" w:rsidRPr="007279BA">
        <w:rPr>
          <w:b/>
        </w:rPr>
        <w:t xml:space="preserve"> </w:t>
      </w:r>
      <w:r w:rsidR="007279BA" w:rsidRPr="00D905FF">
        <w:rPr>
          <w:b/>
        </w:rPr>
        <w:t xml:space="preserve">b. </w:t>
      </w:r>
      <w:r w:rsidRPr="00AE5AC5">
        <w:rPr>
          <w:i/>
        </w:rPr>
        <w:t>LDHA</w:t>
      </w:r>
      <w:r w:rsidRPr="00F1771A">
        <w:t xml:space="preserve"> and </w:t>
      </w:r>
      <w:r w:rsidRPr="00AE5AC5">
        <w:rPr>
          <w:i/>
        </w:rPr>
        <w:t>LDHB</w:t>
      </w:r>
      <w:r>
        <w:t xml:space="preserve"> gene expression relative to HIF1A gene expression according to their anatomical origin (data extracted from Ivy Glioblastoma Atlas Project).</w:t>
      </w:r>
      <w:r>
        <w:rPr>
          <w:b/>
        </w:rPr>
        <w:t xml:space="preserve"> </w:t>
      </w:r>
      <w:r>
        <w:t>LE</w:t>
      </w:r>
      <w:r w:rsidRPr="00906398">
        <w:t xml:space="preserve">, </w:t>
      </w:r>
      <w:r>
        <w:t xml:space="preserve">Leading Edge; IT, Infiltrating Tumor; CT, Cellular Tumor; CTpan, Cellular Tumor pseudopalisading cells around necrosis; CTmvp, Cellular Tumor microvascular proliferation. </w:t>
      </w:r>
      <w:r w:rsidR="00003D42" w:rsidRPr="00D905FF">
        <w:rPr>
          <w:b/>
        </w:rPr>
        <w:t>c.</w:t>
      </w:r>
      <w:r w:rsidR="00003D42">
        <w:t xml:space="preserve"> Survival analysis </w:t>
      </w:r>
      <w:r w:rsidR="00AE5AC5">
        <w:t>based on</w:t>
      </w:r>
      <w:r w:rsidR="00003D42">
        <w:t xml:space="preserve"> </w:t>
      </w:r>
      <w:r w:rsidR="00003D42" w:rsidRPr="00AE5AC5">
        <w:rPr>
          <w:i/>
        </w:rPr>
        <w:t>LDHA</w:t>
      </w:r>
      <w:r w:rsidR="00003D42">
        <w:t xml:space="preserve"> (</w:t>
      </w:r>
      <w:r w:rsidR="00003D42">
        <w:rPr>
          <w:i/>
        </w:rPr>
        <w:t>left</w:t>
      </w:r>
      <w:r w:rsidR="00003D42">
        <w:t xml:space="preserve">) </w:t>
      </w:r>
      <w:r w:rsidR="00AE5AC5">
        <w:t>or</w:t>
      </w:r>
      <w:r w:rsidR="00003D42">
        <w:t xml:space="preserve"> </w:t>
      </w:r>
      <w:r w:rsidR="00003D42" w:rsidRPr="00AE5AC5">
        <w:rPr>
          <w:i/>
        </w:rPr>
        <w:t>LDHB</w:t>
      </w:r>
      <w:r w:rsidR="00003D42">
        <w:t xml:space="preserve"> (</w:t>
      </w:r>
      <w:r w:rsidR="00003D42" w:rsidRPr="00F7723E">
        <w:rPr>
          <w:i/>
        </w:rPr>
        <w:t>right</w:t>
      </w:r>
      <w:r w:rsidR="00003D42">
        <w:t>) gene expression level in glioblastoma (data extracted from TCGA).</w:t>
      </w:r>
    </w:p>
    <w:p w14:paraId="6CA02A99" w14:textId="77777777" w:rsidR="00AC6672" w:rsidRPr="00906398" w:rsidRDefault="00AC6672" w:rsidP="00140F71">
      <w:pPr>
        <w:rPr>
          <w:b/>
          <w:u w:val="single"/>
        </w:rPr>
      </w:pPr>
    </w:p>
    <w:p w14:paraId="578F334E" w14:textId="6DFFDA5F" w:rsidR="00AC6672" w:rsidRDefault="00AC6672" w:rsidP="00140F71">
      <w:pPr>
        <w:rPr>
          <w:b/>
        </w:rPr>
      </w:pPr>
      <w:r w:rsidRPr="00906398">
        <w:rPr>
          <w:b/>
        </w:rPr>
        <w:t>Suppl</w:t>
      </w:r>
      <w:r w:rsidR="009D43A2">
        <w:rPr>
          <w:b/>
        </w:rPr>
        <w:t>ementary</w:t>
      </w:r>
      <w:r w:rsidRPr="00906398">
        <w:rPr>
          <w:b/>
        </w:rPr>
        <w:t xml:space="preserve"> Figure 2: </w:t>
      </w:r>
      <w:r w:rsidR="00405D8B" w:rsidRPr="00405D8B">
        <w:rPr>
          <w:b/>
        </w:rPr>
        <w:t>Independent stem-like cell line BL13 confirms results obtained in P3</w:t>
      </w:r>
      <w:r w:rsidR="000331E6">
        <w:rPr>
          <w:b/>
        </w:rPr>
        <w:t xml:space="preserve"> stem-like cells</w:t>
      </w:r>
      <w:r w:rsidR="00405D8B" w:rsidRPr="00405D8B">
        <w:rPr>
          <w:b/>
        </w:rPr>
        <w:t xml:space="preserve"> (</w:t>
      </w:r>
      <w:r w:rsidR="00405D8B">
        <w:rPr>
          <w:b/>
        </w:rPr>
        <w:t>E</w:t>
      </w:r>
      <w:r w:rsidR="00405D8B" w:rsidRPr="005C72F8">
        <w:rPr>
          <w:b/>
        </w:rPr>
        <w:t>xten</w:t>
      </w:r>
      <w:r w:rsidR="00AE5AC5">
        <w:rPr>
          <w:b/>
        </w:rPr>
        <w:t>d</w:t>
      </w:r>
      <w:r w:rsidR="00405D8B">
        <w:rPr>
          <w:b/>
        </w:rPr>
        <w:t>ed data</w:t>
      </w:r>
      <w:r w:rsidR="00405D8B" w:rsidRPr="005C72F8">
        <w:rPr>
          <w:b/>
        </w:rPr>
        <w:t xml:space="preserve"> Figure </w:t>
      </w:r>
      <w:r w:rsidR="00405D8B">
        <w:rPr>
          <w:b/>
        </w:rPr>
        <w:t>2a-h</w:t>
      </w:r>
      <w:r w:rsidR="00405D8B" w:rsidRPr="00405D8B">
        <w:rPr>
          <w:b/>
        </w:rPr>
        <w:t>)</w:t>
      </w:r>
    </w:p>
    <w:p w14:paraId="2BB01DC4" w14:textId="77248B0A" w:rsidR="00AC6672" w:rsidRPr="00906398" w:rsidRDefault="00AC6672" w:rsidP="00140F71">
      <w:r w:rsidRPr="00906398">
        <w:rPr>
          <w:b/>
        </w:rPr>
        <w:t>a.</w:t>
      </w:r>
      <w:r w:rsidRPr="00906398">
        <w:t xml:space="preserve"> Western blot analysis of LDHA and LDHB from BL13 cells upon exposure to 21% </w:t>
      </w:r>
      <w:r>
        <w:t>or 0.1</w:t>
      </w:r>
      <w:r w:rsidRPr="00906398">
        <w:t>% O</w:t>
      </w:r>
      <w:r w:rsidRPr="00906398">
        <w:rPr>
          <w:vertAlign w:val="subscript"/>
        </w:rPr>
        <w:t xml:space="preserve">2 </w:t>
      </w:r>
      <w:r w:rsidRPr="00906398">
        <w:t>during 6, 24, 48 and 72 h. The graphs represent densitometry quantification of the immunoblots normalized to tubulin (</w:t>
      </w:r>
      <w:r w:rsidRPr="00906398">
        <w:rPr>
          <w:i/>
        </w:rPr>
        <w:t>n</w:t>
      </w:r>
      <w:r w:rsidRPr="00906398">
        <w:t xml:space="preserve"> = 4). </w:t>
      </w:r>
      <w:r w:rsidRPr="00906398">
        <w:rPr>
          <w:b/>
        </w:rPr>
        <w:t>b.</w:t>
      </w:r>
      <w:r w:rsidRPr="00906398">
        <w:t xml:space="preserve"> Lactate secretion of BL13 cells exposed to 21</w:t>
      </w:r>
      <w:r>
        <w:t>%</w:t>
      </w:r>
      <w:r w:rsidRPr="00906398">
        <w:t xml:space="preserve"> or 0.1% O</w:t>
      </w:r>
      <w:r w:rsidRPr="00906398">
        <w:rPr>
          <w:vertAlign w:val="subscript"/>
        </w:rPr>
        <w:t xml:space="preserve">2 </w:t>
      </w:r>
      <w:r w:rsidRPr="00906398">
        <w:t>measured by bioluminescent assay using a pro-luciferin reductase substrate converted to luciferin in the presence of NADH (</w:t>
      </w:r>
      <w:r w:rsidRPr="00906398">
        <w:rPr>
          <w:i/>
        </w:rPr>
        <w:t>n</w:t>
      </w:r>
      <w:r w:rsidRPr="00906398">
        <w:t xml:space="preserve"> = 3). </w:t>
      </w:r>
      <w:r w:rsidRPr="00906398">
        <w:rPr>
          <w:b/>
        </w:rPr>
        <w:t xml:space="preserve">c, d. </w:t>
      </w:r>
      <w:r w:rsidRPr="00906398">
        <w:t>Colorimetric assays related to the activity of (</w:t>
      </w:r>
      <w:r w:rsidRPr="00906398">
        <w:rPr>
          <w:b/>
        </w:rPr>
        <w:t>c</w:t>
      </w:r>
      <w:r w:rsidRPr="00906398">
        <w:t>) LDH enzymes (</w:t>
      </w:r>
      <w:r w:rsidRPr="00906398">
        <w:rPr>
          <w:i/>
        </w:rPr>
        <w:t>n</w:t>
      </w:r>
      <w:r w:rsidRPr="00906398">
        <w:t xml:space="preserve"> = 4) or (</w:t>
      </w:r>
      <w:r w:rsidRPr="00906398">
        <w:rPr>
          <w:b/>
        </w:rPr>
        <w:t>d</w:t>
      </w:r>
      <w:r w:rsidRPr="00906398">
        <w:t>) immune-captured native LDHB enzyme (</w:t>
      </w:r>
      <w:r w:rsidRPr="00906398">
        <w:rPr>
          <w:i/>
        </w:rPr>
        <w:t>n</w:t>
      </w:r>
      <w:r w:rsidRPr="00906398">
        <w:t xml:space="preserve"> = 3) in BL13 cells by measuring the absorbance at 450 nm. </w:t>
      </w:r>
      <w:r w:rsidRPr="00906398">
        <w:rPr>
          <w:b/>
        </w:rPr>
        <w:t>e.</w:t>
      </w:r>
      <w:r w:rsidRPr="00906398">
        <w:t xml:space="preserve"> P3 spheroid cytotoxicity assay recorded over 24 h when incubated with or without lactic acid at different concentrations (1, 10, 20, 30, 40, 50, and 100 mM). Area of spheroids were measured at 0 and 24 h. Growth is represented as a percentage of </w:t>
      </w:r>
      <w:r w:rsidR="000331E6">
        <w:t>spheroid area</w:t>
      </w:r>
      <w:r w:rsidRPr="00906398">
        <w:t xml:space="preserve"> when compared to time 0 and viability is estimated with Live/Dead fluorescence ratio at 24 h and represented as a fitted curve (8–10 spheroids per condition, </w:t>
      </w:r>
      <w:r w:rsidRPr="00906398">
        <w:rPr>
          <w:i/>
        </w:rPr>
        <w:t>n</w:t>
      </w:r>
      <w:r w:rsidRPr="00906398">
        <w:t xml:space="preserve"> = 3). Images of representative spheroids in each condition (in green, calcein ; in red, ethidium homodimer</w:t>
      </w:r>
      <w:r>
        <w:t>-1</w:t>
      </w:r>
      <w:r w:rsidRPr="00906398">
        <w:t xml:space="preserve">). Scale: </w:t>
      </w:r>
      <w:r w:rsidRPr="00284188">
        <w:t>250 µm.</w:t>
      </w:r>
      <w:r w:rsidRPr="00906398">
        <w:t xml:space="preserve"> </w:t>
      </w:r>
      <w:r w:rsidRPr="00906398">
        <w:rPr>
          <w:b/>
        </w:rPr>
        <w:t>f.</w:t>
      </w:r>
      <w:r w:rsidRPr="00906398">
        <w:t xml:space="preserve"> Principal component analysis of morphologic data on P3 cells incubated 7 days with o</w:t>
      </w:r>
      <w:r>
        <w:t>r</w:t>
      </w:r>
      <w:r w:rsidRPr="00906398">
        <w:t xml:space="preserve"> without lactate (20 mM). Cell number and morphology were measured at 0 h, 24 h and 7 days. Images of representative adherent cells in each condition (in green, GFP; in red, </w:t>
      </w:r>
      <w:r w:rsidRPr="00906398">
        <w:lastRenderedPageBreak/>
        <w:t xml:space="preserve">nuclear Tomato). Scale: </w:t>
      </w:r>
      <w:r w:rsidRPr="001F4FCF">
        <w:t>40 µm</w:t>
      </w:r>
      <w:r w:rsidRPr="00906398">
        <w:t xml:space="preserve">. The graphs represent quantification of the cell number and elongated cells (Aspect ratio &gt; 2,5; </w:t>
      </w:r>
      <w:r w:rsidRPr="00906398">
        <w:rPr>
          <w:i/>
        </w:rPr>
        <w:t>n</w:t>
      </w:r>
      <w:r w:rsidRPr="00906398">
        <w:t xml:space="preserve"> = 3). </w:t>
      </w:r>
      <w:r w:rsidRPr="00906398">
        <w:rPr>
          <w:b/>
        </w:rPr>
        <w:t>g.</w:t>
      </w:r>
      <w:r w:rsidRPr="00906398">
        <w:t xml:space="preserve"> P3 spheroid invasion in col</w:t>
      </w:r>
      <w:r>
        <w:t xml:space="preserve">lagen I gel incubated </w:t>
      </w:r>
      <w:r w:rsidR="00955CD4">
        <w:t>24 h at 21</w:t>
      </w:r>
      <w:r w:rsidR="00955CD4" w:rsidRPr="00906398">
        <w:t>% O</w:t>
      </w:r>
      <w:r w:rsidR="00955CD4" w:rsidRPr="00906398">
        <w:rPr>
          <w:vertAlign w:val="subscript"/>
        </w:rPr>
        <w:t>2</w:t>
      </w:r>
      <w:r w:rsidR="007A17BE">
        <w:rPr>
          <w:vertAlign w:val="subscript"/>
        </w:rPr>
        <w:t xml:space="preserve"> </w:t>
      </w:r>
      <w:r w:rsidR="00EA4894">
        <w:t>and</w:t>
      </w:r>
      <w:r w:rsidR="007A17BE" w:rsidRPr="007A17BE">
        <w:t xml:space="preserve"> </w:t>
      </w:r>
      <w:r w:rsidR="007A17BE">
        <w:t>treated with 20 mM pyruvate or 1.5 mM HCl</w:t>
      </w:r>
      <w:r w:rsidRPr="007A17BE">
        <w:t xml:space="preserve">. </w:t>
      </w:r>
      <w:r w:rsidRPr="00906398">
        <w:t xml:space="preserve">Invasion rate is expressed as a fold change of the control (6-8 spheroids per condition, </w:t>
      </w:r>
      <w:r w:rsidRPr="00906398">
        <w:rPr>
          <w:i/>
        </w:rPr>
        <w:t xml:space="preserve">n </w:t>
      </w:r>
      <w:r w:rsidRPr="00906398">
        <w:t>= 3).</w:t>
      </w:r>
      <w:r>
        <w:t xml:space="preserve"> </w:t>
      </w:r>
      <w:r w:rsidRPr="00906398">
        <w:t xml:space="preserve">Data are represented as mean ± s.d. </w:t>
      </w:r>
      <w:r w:rsidRPr="00906398">
        <w:rPr>
          <w:i/>
        </w:rPr>
        <w:t>n</w:t>
      </w:r>
      <w:r w:rsidRPr="00906398">
        <w:t xml:space="preserve"> represents independent experiments. </w:t>
      </w:r>
      <w:r w:rsidRPr="00906398">
        <w:rPr>
          <w:i/>
        </w:rPr>
        <w:t>P</w:t>
      </w:r>
      <w:r w:rsidRPr="00906398">
        <w:t xml:space="preserve"> values were calculated using One-Way ANOVA following by Dunnett’s multiple comparisons test (</w:t>
      </w:r>
      <w:r w:rsidRPr="00906398">
        <w:rPr>
          <w:b/>
        </w:rPr>
        <w:t>a</w:t>
      </w:r>
      <w:r w:rsidRPr="00906398">
        <w:t>), unpaired t test (</w:t>
      </w:r>
      <w:r w:rsidRPr="00906398">
        <w:rPr>
          <w:b/>
        </w:rPr>
        <w:t>b</w:t>
      </w:r>
      <w:r w:rsidRPr="00906398">
        <w:t xml:space="preserve">, </w:t>
      </w:r>
      <w:r w:rsidRPr="00906398">
        <w:rPr>
          <w:b/>
        </w:rPr>
        <w:t>c</w:t>
      </w:r>
      <w:r w:rsidRPr="00906398">
        <w:t xml:space="preserve">, </w:t>
      </w:r>
      <w:r w:rsidRPr="00906398">
        <w:rPr>
          <w:b/>
        </w:rPr>
        <w:t>d</w:t>
      </w:r>
      <w:r w:rsidRPr="00906398">
        <w:t xml:space="preserve">), </w:t>
      </w:r>
      <w:r w:rsidRPr="00CA33A2">
        <w:t>Kruskal-Wallis test following by Dunn’s multiple comparisons test (</w:t>
      </w:r>
      <w:r w:rsidRPr="00CA33A2">
        <w:rPr>
          <w:b/>
        </w:rPr>
        <w:t>e</w:t>
      </w:r>
      <w:r>
        <w:rPr>
          <w:b/>
        </w:rPr>
        <w:t>, g</w:t>
      </w:r>
      <w:r w:rsidRPr="00CA33A2">
        <w:t>); Two-W</w:t>
      </w:r>
      <w:r w:rsidRPr="00906398">
        <w:t>ay ANOVA following by a Sidak’s multiple comparisons test (</w:t>
      </w:r>
      <w:r w:rsidRPr="00906398">
        <w:rPr>
          <w:b/>
        </w:rPr>
        <w:t>f</w:t>
      </w:r>
      <w:r w:rsidRPr="00906398">
        <w:t>); *</w:t>
      </w:r>
      <w:r w:rsidRPr="00906398">
        <w:rPr>
          <w:i/>
        </w:rPr>
        <w:t>P</w:t>
      </w:r>
      <w:r w:rsidRPr="00906398">
        <w:t>&lt;0.05 ; **</w:t>
      </w:r>
      <w:r w:rsidRPr="00906398">
        <w:rPr>
          <w:i/>
        </w:rPr>
        <w:t>P</w:t>
      </w:r>
      <w:r w:rsidRPr="00906398">
        <w:t>&lt;0.01 ; ***</w:t>
      </w:r>
      <w:r w:rsidRPr="00906398">
        <w:rPr>
          <w:i/>
        </w:rPr>
        <w:t>P</w:t>
      </w:r>
      <w:r w:rsidRPr="00906398">
        <w:t xml:space="preserve">&lt;0.001 ; ns not significant; exact </w:t>
      </w:r>
      <w:r w:rsidRPr="00906398">
        <w:rPr>
          <w:i/>
        </w:rPr>
        <w:t>P</w:t>
      </w:r>
      <w:r w:rsidRPr="00906398">
        <w:t xml:space="preserve"> values are provided in the Source Data.</w:t>
      </w:r>
    </w:p>
    <w:p w14:paraId="1E72A74C" w14:textId="77777777" w:rsidR="00AC6672" w:rsidRPr="00906398" w:rsidRDefault="00AC6672" w:rsidP="00140F71"/>
    <w:p w14:paraId="2F88BFD7" w14:textId="7D0C279C" w:rsidR="00AC6672" w:rsidRPr="00906398" w:rsidRDefault="00AC6672" w:rsidP="00140F71">
      <w:pPr>
        <w:rPr>
          <w:b/>
        </w:rPr>
      </w:pPr>
      <w:r w:rsidRPr="00906398">
        <w:rPr>
          <w:b/>
        </w:rPr>
        <w:t>Suppl</w:t>
      </w:r>
      <w:r w:rsidR="00983FB7">
        <w:rPr>
          <w:b/>
        </w:rPr>
        <w:t>ementary</w:t>
      </w:r>
      <w:r w:rsidRPr="00906398">
        <w:rPr>
          <w:b/>
        </w:rPr>
        <w:t xml:space="preserve"> Figure 3: Metabolic tracing using </w:t>
      </w:r>
      <w:r w:rsidRPr="009232AD">
        <w:rPr>
          <w:b/>
        </w:rPr>
        <w:t>[</w:t>
      </w:r>
      <w:r w:rsidRPr="009232AD">
        <w:rPr>
          <w:b/>
          <w:vertAlign w:val="superscript"/>
        </w:rPr>
        <w:t>13</w:t>
      </w:r>
      <w:r w:rsidRPr="009232AD">
        <w:rPr>
          <w:b/>
        </w:rPr>
        <w:t>C</w:t>
      </w:r>
      <w:r w:rsidR="00671DC3" w:rsidRPr="00671DC3">
        <w:rPr>
          <w:b/>
          <w:vertAlign w:val="subscript"/>
        </w:rPr>
        <w:t>3</w:t>
      </w:r>
      <w:r w:rsidRPr="009232AD">
        <w:rPr>
          <w:b/>
        </w:rPr>
        <w:t>]la</w:t>
      </w:r>
      <w:r w:rsidRPr="00906398">
        <w:rPr>
          <w:b/>
        </w:rPr>
        <w:t>ctate</w:t>
      </w:r>
      <w:r w:rsidR="00405D8B">
        <w:rPr>
          <w:b/>
        </w:rPr>
        <w:t xml:space="preserve"> </w:t>
      </w:r>
      <w:r w:rsidR="00405D8B" w:rsidRPr="00405D8B">
        <w:rPr>
          <w:b/>
        </w:rPr>
        <w:t>(</w:t>
      </w:r>
      <w:r w:rsidR="00405D8B">
        <w:rPr>
          <w:b/>
        </w:rPr>
        <w:t>E</w:t>
      </w:r>
      <w:r w:rsidR="00405D8B" w:rsidRPr="005C72F8">
        <w:rPr>
          <w:b/>
        </w:rPr>
        <w:t>xten</w:t>
      </w:r>
      <w:r w:rsidR="00044774">
        <w:rPr>
          <w:b/>
        </w:rPr>
        <w:t>d</w:t>
      </w:r>
      <w:r w:rsidR="00405D8B">
        <w:rPr>
          <w:b/>
        </w:rPr>
        <w:t>ed data</w:t>
      </w:r>
      <w:r w:rsidR="00405D8B" w:rsidRPr="005C72F8">
        <w:rPr>
          <w:b/>
        </w:rPr>
        <w:t xml:space="preserve"> Figure </w:t>
      </w:r>
      <w:r w:rsidR="00405D8B">
        <w:rPr>
          <w:b/>
        </w:rPr>
        <w:t>2i</w:t>
      </w:r>
      <w:r w:rsidR="00405D8B" w:rsidRPr="00405D8B">
        <w:rPr>
          <w:b/>
        </w:rPr>
        <w:t>)</w:t>
      </w:r>
    </w:p>
    <w:p w14:paraId="2C345B8C" w14:textId="7EC3ECBA" w:rsidR="00AC6672" w:rsidRPr="00906398" w:rsidRDefault="00AC6672" w:rsidP="00140F71">
      <w:r w:rsidRPr="00906398">
        <w:t xml:space="preserve">P3 cells were infused </w:t>
      </w:r>
      <w:r w:rsidR="00A2177E">
        <w:t xml:space="preserve">during </w:t>
      </w:r>
      <w:r w:rsidRPr="00906398">
        <w:t xml:space="preserve">0, 1, 2, 4, 6 and 24 h with </w:t>
      </w:r>
      <w:r>
        <w:t>[</w:t>
      </w:r>
      <w:r w:rsidRPr="00906398">
        <w:rPr>
          <w:vertAlign w:val="superscript"/>
        </w:rPr>
        <w:t>13</w:t>
      </w:r>
      <w:r w:rsidRPr="00906398">
        <w:t>C</w:t>
      </w:r>
      <w:r w:rsidR="00A2177E" w:rsidRPr="00A2177E">
        <w:rPr>
          <w:vertAlign w:val="subscript"/>
        </w:rPr>
        <w:t>3</w:t>
      </w:r>
      <w:r w:rsidRPr="00906398">
        <w:t>]lactate</w:t>
      </w:r>
      <w:r w:rsidR="00A2177E">
        <w:t xml:space="preserve"> at a concentration of 5 mM</w:t>
      </w:r>
      <w:r w:rsidRPr="00906398">
        <w:t xml:space="preserve">. Metabolites from cell extracts (endometabolome) or cell medium (exometabolome) measured by gas chromatography-mass spectrometry. </w:t>
      </w:r>
      <w:r w:rsidRPr="00906398">
        <w:rPr>
          <w:b/>
        </w:rPr>
        <w:t>a.</w:t>
      </w:r>
      <w:r w:rsidRPr="00906398">
        <w:t xml:space="preserve"> Metabolite abundance of some intermediates</w:t>
      </w:r>
      <w:r w:rsidR="00A2177E">
        <w:t xml:space="preserve"> of metabolic pathway of interest</w:t>
      </w:r>
      <w:r w:rsidRPr="00906398">
        <w:t xml:space="preserve">. </w:t>
      </w:r>
      <w:r w:rsidRPr="00906398">
        <w:rPr>
          <w:b/>
        </w:rPr>
        <w:t>b.</w:t>
      </w:r>
      <w:r w:rsidRPr="00906398">
        <w:t xml:space="preserve"> Amount of labeled isotopes relative to the total amount of this element, expressed as a percentage (fractional contribution). </w:t>
      </w:r>
      <w:r w:rsidRPr="00906398">
        <w:rPr>
          <w:b/>
        </w:rPr>
        <w:t>c.</w:t>
      </w:r>
      <w:r w:rsidRPr="00906398">
        <w:t xml:space="preserve"> Quantification of the </w:t>
      </w:r>
      <w:r>
        <w:t>[</w:t>
      </w:r>
      <w:r w:rsidRPr="00906398">
        <w:rPr>
          <w:vertAlign w:val="superscript"/>
        </w:rPr>
        <w:t>13</w:t>
      </w:r>
      <w:r w:rsidRPr="00906398">
        <w:t>C</w:t>
      </w:r>
      <w:r w:rsidR="00A2177E" w:rsidRPr="00A2177E">
        <w:rPr>
          <w:vertAlign w:val="subscript"/>
        </w:rPr>
        <w:t>3</w:t>
      </w:r>
      <w:r w:rsidRPr="00906398">
        <w:t>]lactate carbon incorporation into intermediates of the carbon metabolism (isotopologue contribution).</w:t>
      </w:r>
    </w:p>
    <w:p w14:paraId="6FA8C56D" w14:textId="77777777" w:rsidR="00AC6672" w:rsidRDefault="00AC6672" w:rsidP="00140F71"/>
    <w:p w14:paraId="38AACFF3" w14:textId="35869A94" w:rsidR="00AC6672" w:rsidRDefault="00AC6672" w:rsidP="00140F71">
      <w:pPr>
        <w:rPr>
          <w:b/>
        </w:rPr>
      </w:pPr>
      <w:r>
        <w:rPr>
          <w:b/>
        </w:rPr>
        <w:t>Suppl</w:t>
      </w:r>
      <w:r w:rsidR="00983FB7">
        <w:rPr>
          <w:b/>
        </w:rPr>
        <w:t>ementary</w:t>
      </w:r>
      <w:r>
        <w:rPr>
          <w:b/>
        </w:rPr>
        <w:t xml:space="preserve"> Figure 4: </w:t>
      </w:r>
      <w:r w:rsidR="00E3378B" w:rsidRPr="00BF4DA4">
        <w:rPr>
          <w:b/>
        </w:rPr>
        <w:t>LDH</w:t>
      </w:r>
      <w:r w:rsidR="00E3378B">
        <w:rPr>
          <w:b/>
        </w:rPr>
        <w:t>A/B</w:t>
      </w:r>
      <w:r w:rsidR="00E3378B" w:rsidRPr="00BF4DA4">
        <w:rPr>
          <w:b/>
        </w:rPr>
        <w:t xml:space="preserve"> </w:t>
      </w:r>
      <w:r w:rsidR="00BF4DA4" w:rsidRPr="00BF4DA4">
        <w:rPr>
          <w:b/>
        </w:rPr>
        <w:t xml:space="preserve">KO in BL13 cells and bevacizumab treatment </w:t>
      </w:r>
      <w:r w:rsidR="00E3378B">
        <w:rPr>
          <w:b/>
        </w:rPr>
        <w:t>i</w:t>
      </w:r>
      <w:r w:rsidR="00BF4DA4" w:rsidRPr="00BF4DA4">
        <w:rPr>
          <w:b/>
        </w:rPr>
        <w:t xml:space="preserve">n P3 tumors </w:t>
      </w:r>
      <w:r w:rsidR="00BF4DA4" w:rsidRPr="00405D8B">
        <w:rPr>
          <w:b/>
        </w:rPr>
        <w:t>(</w:t>
      </w:r>
      <w:r w:rsidR="00BF4DA4">
        <w:rPr>
          <w:b/>
        </w:rPr>
        <w:t>E</w:t>
      </w:r>
      <w:r w:rsidR="00BF4DA4" w:rsidRPr="005C72F8">
        <w:rPr>
          <w:b/>
        </w:rPr>
        <w:t>xten</w:t>
      </w:r>
      <w:r w:rsidR="007836AA">
        <w:rPr>
          <w:b/>
        </w:rPr>
        <w:t>d</w:t>
      </w:r>
      <w:r w:rsidR="00BF4DA4">
        <w:rPr>
          <w:b/>
        </w:rPr>
        <w:t>ed data</w:t>
      </w:r>
      <w:r w:rsidR="00BF4DA4" w:rsidRPr="005C72F8">
        <w:rPr>
          <w:b/>
        </w:rPr>
        <w:t xml:space="preserve"> Figure </w:t>
      </w:r>
      <w:r w:rsidR="00BF4DA4">
        <w:rPr>
          <w:b/>
        </w:rPr>
        <w:t>3</w:t>
      </w:r>
      <w:r w:rsidR="00BF4DA4" w:rsidRPr="00405D8B">
        <w:rPr>
          <w:b/>
        </w:rPr>
        <w:t>)</w:t>
      </w:r>
    </w:p>
    <w:p w14:paraId="0BF85FBE" w14:textId="2FFFDD26" w:rsidR="00AC6672" w:rsidRDefault="00AC6672" w:rsidP="00140F71">
      <w:r w:rsidRPr="00906398">
        <w:rPr>
          <w:b/>
        </w:rPr>
        <w:t>a.</w:t>
      </w:r>
      <w:r w:rsidRPr="00906398">
        <w:t xml:space="preserve"> Western blot analysis of LDHA and LDHB from </w:t>
      </w:r>
      <w:r>
        <w:t>BL1</w:t>
      </w:r>
      <w:r w:rsidRPr="00906398">
        <w:t>3 cells knockout by Crispr-Cas9 lentiviral vectors against LDHA, LDHB o</w:t>
      </w:r>
      <w:r>
        <w:t>r both, and upon exposure to 21</w:t>
      </w:r>
      <w:r w:rsidRPr="00906398">
        <w:t>% O</w:t>
      </w:r>
      <w:r w:rsidRPr="00906398">
        <w:rPr>
          <w:vertAlign w:val="subscript"/>
        </w:rPr>
        <w:t>2</w:t>
      </w:r>
      <w:r w:rsidRPr="00906398">
        <w:t>.</w:t>
      </w:r>
      <w:r>
        <w:t xml:space="preserve"> </w:t>
      </w:r>
      <w:r>
        <w:rPr>
          <w:b/>
        </w:rPr>
        <w:t>b, c</w:t>
      </w:r>
      <w:r w:rsidRPr="00906398">
        <w:rPr>
          <w:b/>
        </w:rPr>
        <w:t>.</w:t>
      </w:r>
      <w:r w:rsidRPr="00906398">
        <w:t xml:space="preserve"> Colorimetric assays related to the activity of (</w:t>
      </w:r>
      <w:r>
        <w:rPr>
          <w:b/>
        </w:rPr>
        <w:t>b</w:t>
      </w:r>
      <w:r w:rsidRPr="00906398">
        <w:t>) LDH enzymes (</w:t>
      </w:r>
      <w:r w:rsidRPr="00906398">
        <w:rPr>
          <w:i/>
        </w:rPr>
        <w:t>n</w:t>
      </w:r>
      <w:r w:rsidRPr="00906398">
        <w:t xml:space="preserve"> = 4) or (</w:t>
      </w:r>
      <w:r>
        <w:rPr>
          <w:b/>
        </w:rPr>
        <w:t>c</w:t>
      </w:r>
      <w:r w:rsidRPr="00906398">
        <w:t>) immune-captured native LDHB enzyme (</w:t>
      </w:r>
      <w:r w:rsidRPr="00906398">
        <w:rPr>
          <w:i/>
        </w:rPr>
        <w:t>n</w:t>
      </w:r>
      <w:r w:rsidRPr="00906398">
        <w:t xml:space="preserve"> = 3) by measuring the absorbance at 450 nm in </w:t>
      </w:r>
      <w:r>
        <w:t xml:space="preserve">KO </w:t>
      </w:r>
      <w:r w:rsidRPr="00906398">
        <w:t>P3 cells.</w:t>
      </w:r>
      <w:r>
        <w:t xml:space="preserve"> </w:t>
      </w:r>
      <w:r w:rsidRPr="005B5B58">
        <w:rPr>
          <w:b/>
        </w:rPr>
        <w:t>d.</w:t>
      </w:r>
      <w:r>
        <w:t xml:space="preserve"> Schematic representation of the intracellular lactate level monitoring </w:t>
      </w:r>
      <w:r w:rsidRPr="00906398">
        <w:t>with a fluorescent biosensor</w:t>
      </w:r>
      <w:r>
        <w:t xml:space="preserve">. The presence of the lactate changes the conformation of the biosensor and fluorescence emission. Known as an accelerated-exchange transport (trans-acceleration), oxamate was used to quickly release the lactate out of the cells for the determination of the lactate basal level. Then, diclofenac was used to block the lactate transporter for the quantification of the lactate production rate. </w:t>
      </w:r>
      <w:r>
        <w:rPr>
          <w:b/>
        </w:rPr>
        <w:t>e</w:t>
      </w:r>
      <w:r w:rsidRPr="00932005">
        <w:rPr>
          <w:b/>
        </w:rPr>
        <w:t>.</w:t>
      </w:r>
      <w:r>
        <w:t xml:space="preserve"> </w:t>
      </w:r>
      <w:r w:rsidRPr="00906398">
        <w:t>Cells incubated during 48 h at 21</w:t>
      </w:r>
      <w:r>
        <w:t>%</w:t>
      </w:r>
      <w:r w:rsidRPr="00906398">
        <w:t xml:space="preserve"> or 0.1% O</w:t>
      </w:r>
      <w:r w:rsidRPr="00906398">
        <w:rPr>
          <w:vertAlign w:val="subscript"/>
        </w:rPr>
        <w:t>2</w:t>
      </w:r>
      <w:r w:rsidRPr="00906398">
        <w:t xml:space="preserve">, labeled with Annexin </w:t>
      </w:r>
      <w:r w:rsidRPr="00906398">
        <w:lastRenderedPageBreak/>
        <w:t xml:space="preserve">V-FITC and analyzed by cytometry. </w:t>
      </w:r>
      <w:r w:rsidRPr="00DC5E03">
        <w:t>Table</w:t>
      </w:r>
      <w:r w:rsidR="00DC5E03" w:rsidRPr="00DC5E03">
        <w:t xml:space="preserve"> of statistical comparisons</w:t>
      </w:r>
      <w:r>
        <w:t xml:space="preserve"> </w:t>
      </w:r>
      <w:r w:rsidRPr="00DE3616">
        <w:rPr>
          <w:b/>
        </w:rPr>
        <w:t>f.</w:t>
      </w:r>
      <w:r>
        <w:t xml:space="preserve"> BL1</w:t>
      </w:r>
      <w:r w:rsidRPr="00906398">
        <w:t>3 spheroid invasion in collagen I gel incubated 24 h at 21 or 0.1 % O</w:t>
      </w:r>
      <w:r w:rsidRPr="00906398">
        <w:rPr>
          <w:vertAlign w:val="subscript"/>
        </w:rPr>
        <w:t>2</w:t>
      </w:r>
      <w:r w:rsidRPr="00906398">
        <w:t xml:space="preserve">. Invasion rate is expressed as a fold change of the control (6-8 spheroids per condition, </w:t>
      </w:r>
      <w:r w:rsidRPr="00906398">
        <w:rPr>
          <w:i/>
        </w:rPr>
        <w:t xml:space="preserve">n </w:t>
      </w:r>
      <w:r w:rsidRPr="00906398">
        <w:t xml:space="preserve">= 4). Images of representative invasive sgControl or sgLDHA/B spheroids. Scale: </w:t>
      </w:r>
      <w:r w:rsidRPr="00D23D68">
        <w:t>100 µm</w:t>
      </w:r>
      <w:r w:rsidRPr="00906398">
        <w:t>.</w:t>
      </w:r>
      <w:r>
        <w:t xml:space="preserve"> </w:t>
      </w:r>
      <w:r w:rsidRPr="007E0D2C">
        <w:rPr>
          <w:b/>
        </w:rPr>
        <w:t>g.</w:t>
      </w:r>
      <w:r w:rsidRPr="007E0D2C">
        <w:t xml:space="preserve"> </w:t>
      </w:r>
      <w:r w:rsidR="007E0D2C" w:rsidRPr="007E0D2C">
        <w:t xml:space="preserve">Supernatants were collected from each cell line and analyzed by using </w:t>
      </w:r>
      <w:r w:rsidRPr="007E0D2C">
        <w:t xml:space="preserve">ELISA </w:t>
      </w:r>
      <w:r w:rsidR="007E0D2C" w:rsidRPr="007E0D2C">
        <w:t xml:space="preserve">to detect </w:t>
      </w:r>
      <w:r w:rsidRPr="007E0D2C">
        <w:t>VEGF.</w:t>
      </w:r>
      <w:r>
        <w:t xml:space="preserve"> </w:t>
      </w:r>
      <w:r>
        <w:rPr>
          <w:b/>
        </w:rPr>
        <w:t>h</w:t>
      </w:r>
      <w:r w:rsidRPr="002508B1">
        <w:rPr>
          <w:b/>
        </w:rPr>
        <w:t>.</w:t>
      </w:r>
      <w:r w:rsidRPr="002508B1">
        <w:t xml:space="preserve"> </w:t>
      </w:r>
      <w:r w:rsidRPr="00906398">
        <w:t>Kaplan-Meier survival curves</w:t>
      </w:r>
      <w:r>
        <w:t xml:space="preserve"> complement of </w:t>
      </w:r>
      <w:r w:rsidRPr="002508B1">
        <w:rPr>
          <w:b/>
        </w:rPr>
        <w:t>Figure 3i</w:t>
      </w:r>
      <w:r>
        <w:t xml:space="preserve"> where </w:t>
      </w:r>
      <w:r w:rsidRPr="00906398">
        <w:t>xenotransplanted mice</w:t>
      </w:r>
      <w:r>
        <w:t xml:space="preserve"> </w:t>
      </w:r>
      <w:r w:rsidRPr="00906398">
        <w:t xml:space="preserve">with </w:t>
      </w:r>
      <w:r w:rsidR="00764F54">
        <w:t xml:space="preserve">LDHA/B </w:t>
      </w:r>
      <w:r>
        <w:t xml:space="preserve">KO P3 spheroids were treated by bevacizumab. </w:t>
      </w:r>
      <w:r>
        <w:rPr>
          <w:b/>
        </w:rPr>
        <w:t>i</w:t>
      </w:r>
      <w:r w:rsidRPr="00906398">
        <w:rPr>
          <w:b/>
        </w:rPr>
        <w:t>.</w:t>
      </w:r>
      <w:r w:rsidRPr="00906398">
        <w:t xml:space="preserve"> Kaplan-Meier survival curves of xenotransplanted mice with </w:t>
      </w:r>
      <w:r>
        <w:t>BL</w:t>
      </w:r>
      <w:r w:rsidR="00764F54">
        <w:t>1</w:t>
      </w:r>
      <w:r w:rsidRPr="00906398">
        <w:t>3 cells KO for LDHA/B (red) or control (blue) (</w:t>
      </w:r>
      <w:r w:rsidRPr="00906398">
        <w:rPr>
          <w:i/>
        </w:rPr>
        <w:t>n</w:t>
      </w:r>
      <w:r>
        <w:t> = 10</w:t>
      </w:r>
      <w:r w:rsidRPr="00906398">
        <w:t xml:space="preserve"> mice per group).</w:t>
      </w:r>
      <w:r>
        <w:t xml:space="preserve"> D</w:t>
      </w:r>
      <w:r w:rsidRPr="00906398">
        <w:t>ata are represented as mean ± s.d</w:t>
      </w:r>
      <w:r>
        <w:t xml:space="preserve"> (</w:t>
      </w:r>
      <w:r w:rsidRPr="003A61B5">
        <w:rPr>
          <w:b/>
        </w:rPr>
        <w:t>b, c, e, g</w:t>
      </w:r>
      <w:r>
        <w:t>)</w:t>
      </w:r>
      <w:r w:rsidRPr="00906398">
        <w:t xml:space="preserve">. </w:t>
      </w:r>
      <w:r w:rsidRPr="00906398">
        <w:rPr>
          <w:i/>
        </w:rPr>
        <w:t>n</w:t>
      </w:r>
      <w:r w:rsidRPr="00906398">
        <w:t xml:space="preserve"> represents independent experiments. </w:t>
      </w:r>
      <w:r w:rsidRPr="00906398">
        <w:rPr>
          <w:i/>
        </w:rPr>
        <w:t>P</w:t>
      </w:r>
      <w:r w:rsidRPr="00906398">
        <w:t xml:space="preserve"> values were calculated using Two-way ANOVA following by Tu</w:t>
      </w:r>
      <w:r>
        <w:t>key’s multiple comparisons test.</w:t>
      </w:r>
    </w:p>
    <w:p w14:paraId="4CAEE46F" w14:textId="77777777" w:rsidR="00D64C90" w:rsidRPr="00AE3F7D" w:rsidRDefault="00D64C90" w:rsidP="00140F71"/>
    <w:p w14:paraId="527DB3EB" w14:textId="56D24BFF" w:rsidR="00AC6672" w:rsidRDefault="00D64C90" w:rsidP="00140F71">
      <w:pPr>
        <w:rPr>
          <w:b/>
        </w:rPr>
      </w:pPr>
      <w:r w:rsidRPr="005B1254">
        <w:rPr>
          <w:b/>
        </w:rPr>
        <w:t xml:space="preserve">Supplementary Figure 5: </w:t>
      </w:r>
      <w:r w:rsidR="00FE02D4" w:rsidRPr="005B1254">
        <w:rPr>
          <w:b/>
        </w:rPr>
        <w:t>Detailed m</w:t>
      </w:r>
      <w:r w:rsidRPr="005B1254">
        <w:rPr>
          <w:b/>
        </w:rPr>
        <w:t xml:space="preserve">etabolograms </w:t>
      </w:r>
      <w:r w:rsidR="00B03C32" w:rsidRPr="005B1254">
        <w:rPr>
          <w:b/>
        </w:rPr>
        <w:t>(</w:t>
      </w:r>
      <w:r w:rsidR="00B03C32">
        <w:rPr>
          <w:b/>
        </w:rPr>
        <w:t>E</w:t>
      </w:r>
      <w:r w:rsidR="00B03C32" w:rsidRPr="005C72F8">
        <w:rPr>
          <w:b/>
        </w:rPr>
        <w:t>xten</w:t>
      </w:r>
      <w:r w:rsidR="002C198E">
        <w:rPr>
          <w:b/>
        </w:rPr>
        <w:t>d</w:t>
      </w:r>
      <w:r w:rsidR="00B03C32">
        <w:rPr>
          <w:b/>
        </w:rPr>
        <w:t>ed data</w:t>
      </w:r>
      <w:r w:rsidR="00B03C32" w:rsidRPr="005C72F8">
        <w:rPr>
          <w:b/>
        </w:rPr>
        <w:t xml:space="preserve"> Figure </w:t>
      </w:r>
      <w:r w:rsidR="00B03C32">
        <w:rPr>
          <w:b/>
        </w:rPr>
        <w:t>4c</w:t>
      </w:r>
      <w:r w:rsidR="00B03C32" w:rsidRPr="00405D8B">
        <w:rPr>
          <w:b/>
        </w:rPr>
        <w:t>)</w:t>
      </w:r>
    </w:p>
    <w:p w14:paraId="085257F9" w14:textId="7769D131" w:rsidR="00D64C90" w:rsidRDefault="00FE02D4" w:rsidP="00140F71">
      <w:r w:rsidRPr="00906398">
        <w:t>Circular metabologram illustrat</w:t>
      </w:r>
      <w:r>
        <w:t>ing</w:t>
      </w:r>
      <w:r w:rsidRPr="00906398">
        <w:t xml:space="preserve"> metabolic and transcriptomic difference</w:t>
      </w:r>
      <w:r>
        <w:t>s</w:t>
      </w:r>
      <w:r w:rsidRPr="00906398">
        <w:t xml:space="preserve"> </w:t>
      </w:r>
      <w:r>
        <w:t>in</w:t>
      </w:r>
      <w:r w:rsidRPr="00906398">
        <w:t xml:space="preserve"> metabolite pathway</w:t>
      </w:r>
      <w:r>
        <w:t>s</w:t>
      </w:r>
      <w:r w:rsidRPr="00906398">
        <w:t xml:space="preserve"> between </w:t>
      </w:r>
      <w:r>
        <w:t xml:space="preserve">LDH KO </w:t>
      </w:r>
      <w:r w:rsidRPr="00906398">
        <w:t xml:space="preserve">P3 cells. </w:t>
      </w:r>
      <w:r>
        <w:t>The metabologram is d</w:t>
      </w:r>
      <w:r w:rsidRPr="00906398">
        <w:t>ivided in two part</w:t>
      </w:r>
      <w:r>
        <w:t>s</w:t>
      </w:r>
      <w:r w:rsidRPr="00906398">
        <w:t>, the left corresponds to metabolomic analysis and the right to the transcriptomic analysis. The outer circle corresponds to the log</w:t>
      </w:r>
      <w:r w:rsidRPr="00906398">
        <w:rPr>
          <w:vertAlign w:val="subscript"/>
        </w:rPr>
        <w:t>2</w:t>
      </w:r>
      <w:r w:rsidRPr="00906398">
        <w:t xml:space="preserve"> fold change for each metabolite (</w:t>
      </w:r>
      <w:r w:rsidRPr="00B45DF1">
        <w:rPr>
          <w:i/>
        </w:rPr>
        <w:t>left</w:t>
      </w:r>
      <w:r w:rsidRPr="00906398">
        <w:t>) and transcripts (</w:t>
      </w:r>
      <w:r w:rsidRPr="00B45DF1">
        <w:rPr>
          <w:i/>
        </w:rPr>
        <w:t>right</w:t>
      </w:r>
      <w:r w:rsidRPr="00906398">
        <w:t>). The central circle displays the average fold change of all analyte</w:t>
      </w:r>
      <w:r>
        <w:t>s</w:t>
      </w:r>
      <w:r w:rsidRPr="00906398">
        <w:t>.</w:t>
      </w:r>
      <w:r>
        <w:t xml:space="preserve"> Metabolites and gene names were added into </w:t>
      </w:r>
      <w:r w:rsidR="00FD06A5">
        <w:t xml:space="preserve">these </w:t>
      </w:r>
      <w:r>
        <w:t xml:space="preserve">metabolograms. </w:t>
      </w:r>
    </w:p>
    <w:p w14:paraId="7B4DC27B" w14:textId="77777777" w:rsidR="00FE02D4" w:rsidRDefault="00FE02D4" w:rsidP="00140F71">
      <w:pPr>
        <w:rPr>
          <w:b/>
        </w:rPr>
      </w:pPr>
    </w:p>
    <w:p w14:paraId="3B6C2B8B" w14:textId="4519F8CA" w:rsidR="00AC6672" w:rsidRDefault="0028677C" w:rsidP="00140F71">
      <w:pPr>
        <w:rPr>
          <w:b/>
        </w:rPr>
      </w:pPr>
      <w:r>
        <w:rPr>
          <w:b/>
        </w:rPr>
        <w:t xml:space="preserve">Supplementary </w:t>
      </w:r>
      <w:r w:rsidR="00AC6672" w:rsidRPr="00906398">
        <w:rPr>
          <w:b/>
        </w:rPr>
        <w:t xml:space="preserve">Figure </w:t>
      </w:r>
      <w:r w:rsidR="00D64C90">
        <w:rPr>
          <w:b/>
        </w:rPr>
        <w:t>6</w:t>
      </w:r>
      <w:r w:rsidR="00AC6672" w:rsidRPr="00906398">
        <w:rPr>
          <w:b/>
        </w:rPr>
        <w:t>:</w:t>
      </w:r>
      <w:r w:rsidR="00AC6672">
        <w:rPr>
          <w:b/>
        </w:rPr>
        <w:t xml:space="preserve"> </w:t>
      </w:r>
      <w:r w:rsidR="00BF4DA4" w:rsidRPr="00BF4DA4">
        <w:rPr>
          <w:b/>
        </w:rPr>
        <w:t>RNAseq/metabolomics profiles of P3 sgControl adaptations to hypoxia or basal differences between P3 sgControl and P3 sgLDHA/B cells (Exten</w:t>
      </w:r>
      <w:r w:rsidR="002C198E">
        <w:rPr>
          <w:b/>
        </w:rPr>
        <w:t>d</w:t>
      </w:r>
      <w:r w:rsidR="00BF4DA4" w:rsidRPr="00BF4DA4">
        <w:rPr>
          <w:b/>
        </w:rPr>
        <w:t>ed data Figure 4)</w:t>
      </w:r>
    </w:p>
    <w:p w14:paraId="3FCF3FEC" w14:textId="5CBA6401" w:rsidR="00AC6672" w:rsidRPr="0065069C" w:rsidRDefault="00AC6672" w:rsidP="00140F71">
      <w:r>
        <w:t xml:space="preserve">Metabolic changes of central 13-labeled-carbon metabolism when knock out P3 cells are infused </w:t>
      </w:r>
      <w:r w:rsidRPr="00906398">
        <w:t xml:space="preserve">with </w:t>
      </w:r>
      <w:r>
        <w:t>[</w:t>
      </w:r>
      <w:r w:rsidRPr="00906398">
        <w:rPr>
          <w:vertAlign w:val="superscript"/>
        </w:rPr>
        <w:t>13</w:t>
      </w:r>
      <w:r w:rsidRPr="00906398">
        <w:t>C</w:t>
      </w:r>
      <w:r w:rsidR="002C198E" w:rsidRPr="002C198E">
        <w:rPr>
          <w:vertAlign w:val="subscript"/>
        </w:rPr>
        <w:t>6</w:t>
      </w:r>
      <w:r w:rsidRPr="00906398">
        <w:t>]</w:t>
      </w:r>
      <w:r>
        <w:t>glucose in 1% O</w:t>
      </w:r>
      <w:r>
        <w:rPr>
          <w:vertAlign w:val="subscript"/>
        </w:rPr>
        <w:t>2</w:t>
      </w:r>
      <w:r w:rsidRPr="00906398">
        <w:t>. Metabolites are labelled with colored-oval</w:t>
      </w:r>
      <w:r>
        <w:t xml:space="preserve"> and enzyme transcripts with colored-square</w:t>
      </w:r>
      <w:r w:rsidRPr="00906398">
        <w:t xml:space="preserve"> whose colour corresponds to the log</w:t>
      </w:r>
      <w:r w:rsidRPr="00906398">
        <w:rPr>
          <w:vertAlign w:val="subscript"/>
        </w:rPr>
        <w:t>2</w:t>
      </w:r>
      <w:r w:rsidRPr="00906398">
        <w:t xml:space="preserve"> fold changes between </w:t>
      </w:r>
      <w:r w:rsidRPr="00B15E60">
        <w:rPr>
          <w:b/>
        </w:rPr>
        <w:t>a.</w:t>
      </w:r>
      <w:r>
        <w:t xml:space="preserve"> sgCont 0 h and sgCont 48 h (blue, increase in sgCont 0 h; red, increase in sgCont 48 h; gray, not measured or not computable) or </w:t>
      </w:r>
      <w:r w:rsidRPr="003B5121">
        <w:rPr>
          <w:b/>
        </w:rPr>
        <w:t>b.</w:t>
      </w:r>
      <w:r>
        <w:t xml:space="preserve"> sgCont 0</w:t>
      </w:r>
      <w:r w:rsidR="00DC5E03">
        <w:t xml:space="preserve"> </w:t>
      </w:r>
      <w:r>
        <w:t>h and sgLDHA/B 0</w:t>
      </w:r>
      <w:r w:rsidR="00DC5E03">
        <w:t xml:space="preserve"> </w:t>
      </w:r>
      <w:r>
        <w:t>h (blue, increase in sgCont 0 h; red, increase in sgLDHA/B 0 h; gray, not measured or not computable)</w:t>
      </w:r>
      <w:r w:rsidRPr="00906398">
        <w:t xml:space="preserve">. </w:t>
      </w:r>
      <w:r>
        <w:t xml:space="preserve">For </w:t>
      </w:r>
      <w:r w:rsidR="0074442A">
        <w:t>details</w:t>
      </w:r>
      <w:r>
        <w:t xml:space="preserve">, see also </w:t>
      </w:r>
      <w:r w:rsidRPr="00560E6D">
        <w:rPr>
          <w:b/>
        </w:rPr>
        <w:t xml:space="preserve">Figure </w:t>
      </w:r>
      <w:r>
        <w:rPr>
          <w:b/>
        </w:rPr>
        <w:t>4</w:t>
      </w:r>
      <w:r>
        <w:t xml:space="preserve">. </w:t>
      </w:r>
      <w:r w:rsidRPr="0065069C">
        <w:rPr>
          <w:b/>
        </w:rPr>
        <w:t xml:space="preserve">c. </w:t>
      </w:r>
      <w:r w:rsidR="00DB3159" w:rsidRPr="00DB3159">
        <w:rPr>
          <w:i/>
        </w:rPr>
        <w:t>Left:</w:t>
      </w:r>
      <w:r w:rsidR="00DB3159">
        <w:rPr>
          <w:i/>
        </w:rPr>
        <w:t xml:space="preserve"> </w:t>
      </w:r>
      <w:r w:rsidR="00DB3159" w:rsidRPr="00DB3159">
        <w:t>Volcano plots</w:t>
      </w:r>
      <w:r w:rsidR="00DB3159">
        <w:t xml:space="preserve"> for visualizing gene expression in described comparisons.</w:t>
      </w:r>
      <w:r w:rsidR="00DB3159">
        <w:rPr>
          <w:i/>
        </w:rPr>
        <w:t xml:space="preserve"> Right</w:t>
      </w:r>
      <w:r w:rsidR="00DB3159" w:rsidRPr="00DB3159">
        <w:rPr>
          <w:i/>
        </w:rPr>
        <w:t>:</w:t>
      </w:r>
      <w:r w:rsidR="00DB3159">
        <w:rPr>
          <w:i/>
        </w:rPr>
        <w:t xml:space="preserve"> </w:t>
      </w:r>
      <w:r w:rsidR="0065069C" w:rsidRPr="0065069C">
        <w:t>Enrichment analysis using</w:t>
      </w:r>
      <w:r w:rsidR="0065069C">
        <w:rPr>
          <w:b/>
        </w:rPr>
        <w:t xml:space="preserve"> </w:t>
      </w:r>
      <w:r w:rsidR="0065069C" w:rsidRPr="0065069C">
        <w:t>Gene Ontology with filtered terms “biological process” and “cellular component”</w:t>
      </w:r>
      <w:r w:rsidR="00DB3159">
        <w:t xml:space="preserve">. </w:t>
      </w:r>
    </w:p>
    <w:p w14:paraId="0CD42511" w14:textId="77777777" w:rsidR="00AC6672" w:rsidRPr="0065069C" w:rsidRDefault="00AC6672" w:rsidP="00140F71"/>
    <w:p w14:paraId="419EB8F8" w14:textId="72DB275A" w:rsidR="00AC6672" w:rsidRDefault="00AC6672" w:rsidP="00140F71">
      <w:pPr>
        <w:rPr>
          <w:b/>
        </w:rPr>
      </w:pPr>
      <w:r w:rsidRPr="00906398">
        <w:rPr>
          <w:b/>
        </w:rPr>
        <w:t>Suppl</w:t>
      </w:r>
      <w:r w:rsidR="001872FD">
        <w:rPr>
          <w:b/>
        </w:rPr>
        <w:t>ementary</w:t>
      </w:r>
      <w:r w:rsidRPr="00906398">
        <w:rPr>
          <w:b/>
        </w:rPr>
        <w:t xml:space="preserve"> Figure </w:t>
      </w:r>
      <w:r w:rsidR="00D64C90">
        <w:rPr>
          <w:b/>
        </w:rPr>
        <w:t>7</w:t>
      </w:r>
      <w:r w:rsidRPr="00906398">
        <w:rPr>
          <w:b/>
        </w:rPr>
        <w:t>:</w:t>
      </w:r>
      <w:r w:rsidRPr="002224BC">
        <w:rPr>
          <w:b/>
        </w:rPr>
        <w:t xml:space="preserve"> </w:t>
      </w:r>
      <w:r w:rsidRPr="00906398">
        <w:rPr>
          <w:b/>
        </w:rPr>
        <w:t xml:space="preserve">Metabolic tracing using </w:t>
      </w:r>
      <w:r w:rsidRPr="009232AD">
        <w:rPr>
          <w:b/>
        </w:rPr>
        <w:t>[</w:t>
      </w:r>
      <w:r w:rsidRPr="009232AD">
        <w:rPr>
          <w:b/>
          <w:vertAlign w:val="superscript"/>
        </w:rPr>
        <w:t>13</w:t>
      </w:r>
      <w:r w:rsidRPr="009232AD">
        <w:rPr>
          <w:b/>
        </w:rPr>
        <w:t>C</w:t>
      </w:r>
      <w:r w:rsidR="00237ED1" w:rsidRPr="00237ED1">
        <w:rPr>
          <w:b/>
          <w:vertAlign w:val="subscript"/>
        </w:rPr>
        <w:t>6</w:t>
      </w:r>
      <w:r w:rsidRPr="009232AD">
        <w:rPr>
          <w:b/>
        </w:rPr>
        <w:t>]</w:t>
      </w:r>
      <w:r>
        <w:rPr>
          <w:b/>
        </w:rPr>
        <w:t>glucose</w:t>
      </w:r>
      <w:r w:rsidR="00452132">
        <w:rPr>
          <w:b/>
        </w:rPr>
        <w:t xml:space="preserve"> </w:t>
      </w:r>
      <w:r w:rsidR="00452132" w:rsidRPr="00405D8B">
        <w:rPr>
          <w:b/>
        </w:rPr>
        <w:t>(</w:t>
      </w:r>
      <w:r w:rsidR="00452132">
        <w:rPr>
          <w:b/>
        </w:rPr>
        <w:t>E</w:t>
      </w:r>
      <w:r w:rsidR="00452132" w:rsidRPr="005C72F8">
        <w:rPr>
          <w:b/>
        </w:rPr>
        <w:t>xten</w:t>
      </w:r>
      <w:r w:rsidR="00452132">
        <w:rPr>
          <w:b/>
        </w:rPr>
        <w:t>ted data</w:t>
      </w:r>
      <w:r w:rsidR="00452132" w:rsidRPr="005C72F8">
        <w:rPr>
          <w:b/>
        </w:rPr>
        <w:t xml:space="preserve"> Figure </w:t>
      </w:r>
      <w:r w:rsidR="00452132">
        <w:rPr>
          <w:b/>
        </w:rPr>
        <w:t>4</w:t>
      </w:r>
      <w:r w:rsidR="00452132" w:rsidRPr="00405D8B">
        <w:rPr>
          <w:b/>
        </w:rPr>
        <w:t>)</w:t>
      </w:r>
    </w:p>
    <w:p w14:paraId="15A6C70D" w14:textId="504D3F01" w:rsidR="00BA4683" w:rsidRPr="00BA4683" w:rsidRDefault="00BA4683" w:rsidP="00BA4683">
      <w:r w:rsidRPr="00BA4683">
        <w:t xml:space="preserve">P3 sgControl, sgLDHA, sgLDHB and sgLDHA/B were infused </w:t>
      </w:r>
      <w:r w:rsidR="00237ED1">
        <w:t xml:space="preserve">during </w:t>
      </w:r>
      <w:r w:rsidRPr="00BA4683">
        <w:t>0, 24 and 48 h at 0.1% O2 with [13C</w:t>
      </w:r>
      <w:r w:rsidR="00237ED1" w:rsidRPr="00237ED1">
        <w:rPr>
          <w:vertAlign w:val="subscript"/>
        </w:rPr>
        <w:t>6</w:t>
      </w:r>
      <w:r w:rsidRPr="00BA4683">
        <w:t>]glucose. Metabolites from cell extracts (endometabolome) or cell medium (exometabolome) measured by gas chromatography-mass spectrometry. Abundance and isotopolog contribution of all metabolite isotopes and fractional contribution of direct isotopes from glucose metabolism are showed.</w:t>
      </w:r>
    </w:p>
    <w:p w14:paraId="34DE8F18" w14:textId="77777777" w:rsidR="001E548E" w:rsidRPr="00906398" w:rsidRDefault="001E548E" w:rsidP="00140F71"/>
    <w:p w14:paraId="73CAEE1E" w14:textId="3E76E6E0" w:rsidR="0028677C" w:rsidRDefault="001872FD" w:rsidP="00140F71">
      <w:pPr>
        <w:pStyle w:val="Paragraphedeliste"/>
        <w:spacing w:before="120" w:after="120"/>
        <w:ind w:left="0" w:right="-23"/>
        <w:contextualSpacing w:val="0"/>
        <w:rPr>
          <w:b/>
        </w:rPr>
      </w:pPr>
      <w:r w:rsidRPr="00906398">
        <w:rPr>
          <w:b/>
        </w:rPr>
        <w:t>Suppl</w:t>
      </w:r>
      <w:r>
        <w:rPr>
          <w:b/>
        </w:rPr>
        <w:t>ementary</w:t>
      </w:r>
      <w:r w:rsidRPr="00906398">
        <w:rPr>
          <w:b/>
        </w:rPr>
        <w:t xml:space="preserve"> Figure </w:t>
      </w:r>
      <w:r w:rsidR="00D64C90">
        <w:rPr>
          <w:b/>
        </w:rPr>
        <w:t>8</w:t>
      </w:r>
      <w:r w:rsidRPr="00906398">
        <w:rPr>
          <w:b/>
        </w:rPr>
        <w:t>:</w:t>
      </w:r>
      <w:r>
        <w:rPr>
          <w:b/>
        </w:rPr>
        <w:t xml:space="preserve"> </w:t>
      </w:r>
      <w:r w:rsidRPr="00581FB7">
        <w:rPr>
          <w:b/>
        </w:rPr>
        <w:t>uncropped western-blots related to Figure</w:t>
      </w:r>
      <w:r w:rsidR="00581FB7" w:rsidRPr="00581FB7">
        <w:rPr>
          <w:b/>
        </w:rPr>
        <w:t xml:space="preserve">s 2, 3, and 5. </w:t>
      </w:r>
    </w:p>
    <w:p w14:paraId="7283ED39" w14:textId="77777777" w:rsidR="00237ED1" w:rsidRPr="007E3048" w:rsidRDefault="00237ED1" w:rsidP="00140F71">
      <w:pPr>
        <w:pStyle w:val="Paragraphedeliste"/>
        <w:spacing w:before="120" w:after="120"/>
        <w:ind w:left="0" w:right="-23"/>
        <w:contextualSpacing w:val="0"/>
        <w:rPr>
          <w:b/>
          <w:highlight w:val="yellow"/>
        </w:rPr>
      </w:pPr>
    </w:p>
    <w:p w14:paraId="2968DD45" w14:textId="49238DEF" w:rsidR="001E548E" w:rsidRPr="006A07F7" w:rsidRDefault="00213A39" w:rsidP="00140F71">
      <w:pPr>
        <w:pStyle w:val="Paragraphedeliste"/>
        <w:spacing w:before="120" w:after="120"/>
        <w:ind w:left="0" w:right="-23"/>
        <w:contextualSpacing w:val="0"/>
        <w:rPr>
          <w:rFonts w:eastAsiaTheme="minorHAnsi"/>
          <w:b/>
          <w:sz w:val="24"/>
          <w:u w:val="single"/>
          <w:lang w:bidi="en-US"/>
        </w:rPr>
      </w:pPr>
      <w:r w:rsidRPr="006A07F7">
        <w:rPr>
          <w:rFonts w:eastAsiaTheme="minorHAnsi"/>
          <w:b/>
          <w:sz w:val="24"/>
          <w:u w:val="single"/>
          <w:lang w:bidi="en-US"/>
        </w:rPr>
        <w:t xml:space="preserve">Supplementary Tables: </w:t>
      </w:r>
    </w:p>
    <w:p w14:paraId="52AAF24F" w14:textId="77777777" w:rsidR="006A07F7" w:rsidRPr="006A07F7" w:rsidRDefault="006A07F7" w:rsidP="006A07F7">
      <w:pPr>
        <w:rPr>
          <w:u w:val="single"/>
        </w:rPr>
      </w:pPr>
      <w:r w:rsidRPr="006A07F7">
        <w:rPr>
          <w:b/>
          <w:u w:val="single"/>
        </w:rPr>
        <w:t>Title:</w:t>
      </w:r>
      <w:r w:rsidRPr="006A07F7">
        <w:rPr>
          <w:u w:val="single"/>
        </w:rPr>
        <w:t xml:space="preserve"> Reagents list</w:t>
      </w:r>
    </w:p>
    <w:p w14:paraId="031E978C" w14:textId="77777777" w:rsidR="006A07F7" w:rsidRDefault="006A07F7" w:rsidP="006A07F7">
      <w:r w:rsidRPr="000F75E0">
        <w:rPr>
          <w:b/>
        </w:rPr>
        <w:t>Description:</w:t>
      </w:r>
      <w:r>
        <w:rPr>
          <w:b/>
        </w:rPr>
        <w:t xml:space="preserve"> </w:t>
      </w:r>
      <w:r>
        <w:t xml:space="preserve">List of the antibodies, reagents and products used </w:t>
      </w:r>
    </w:p>
    <w:p w14:paraId="47A876FA" w14:textId="77777777" w:rsidR="006A07F7" w:rsidRDefault="006A07F7" w:rsidP="006A07F7">
      <w:pPr>
        <w:rPr>
          <w:b/>
        </w:rPr>
      </w:pPr>
    </w:p>
    <w:p w14:paraId="24E9399A" w14:textId="77777777" w:rsidR="006A07F7" w:rsidRPr="006A07F7" w:rsidRDefault="006A07F7" w:rsidP="006A07F7">
      <w:pPr>
        <w:rPr>
          <w:u w:val="single"/>
        </w:rPr>
      </w:pPr>
      <w:r w:rsidRPr="006A07F7">
        <w:rPr>
          <w:b/>
          <w:u w:val="single"/>
        </w:rPr>
        <w:t xml:space="preserve">Title: </w:t>
      </w:r>
      <w:r w:rsidRPr="006A07F7">
        <w:rPr>
          <w:u w:val="single"/>
        </w:rPr>
        <w:t>Source Data Fig2</w:t>
      </w:r>
    </w:p>
    <w:p w14:paraId="22539F31" w14:textId="77777777" w:rsidR="006A07F7" w:rsidRDefault="006A07F7" w:rsidP="006A07F7">
      <w:r w:rsidRPr="000F75E0">
        <w:rPr>
          <w:b/>
        </w:rPr>
        <w:t>Description:</w:t>
      </w:r>
      <w:r>
        <w:t xml:space="preserve"> Data and statistical analysis of the graphics in the Figure2: densitometry analysis (sheet 1), lactate secretion (sheet 2), LDHs activity (sheet 3), LDHB activity (sheet 4), spheroid growth (sheet 5), spheroid invasion (sheets 6 and 7), oxygraphy (sheet 8), and change in the metabolite abundance (sheet 9).</w:t>
      </w:r>
    </w:p>
    <w:p w14:paraId="7D0ED0E5" w14:textId="77777777" w:rsidR="006A07F7" w:rsidRDefault="006A07F7" w:rsidP="006A07F7">
      <w:pPr>
        <w:rPr>
          <w:b/>
        </w:rPr>
      </w:pPr>
    </w:p>
    <w:p w14:paraId="3C70E6F0" w14:textId="77777777" w:rsidR="006A07F7" w:rsidRPr="006A07F7" w:rsidRDefault="006A07F7" w:rsidP="006A07F7">
      <w:pPr>
        <w:rPr>
          <w:u w:val="single"/>
        </w:rPr>
      </w:pPr>
      <w:r w:rsidRPr="006A07F7">
        <w:rPr>
          <w:b/>
          <w:u w:val="single"/>
        </w:rPr>
        <w:t xml:space="preserve">Title: </w:t>
      </w:r>
      <w:r w:rsidRPr="006A07F7">
        <w:rPr>
          <w:u w:val="single"/>
        </w:rPr>
        <w:t>Source Data Fig3</w:t>
      </w:r>
    </w:p>
    <w:p w14:paraId="525867DE" w14:textId="77777777" w:rsidR="006A07F7" w:rsidRDefault="006A07F7" w:rsidP="006A07F7">
      <w:r w:rsidRPr="000F75E0">
        <w:rPr>
          <w:b/>
        </w:rPr>
        <w:t>Description:</w:t>
      </w:r>
      <w:r>
        <w:rPr>
          <w:b/>
        </w:rPr>
        <w:t xml:space="preserve"> </w:t>
      </w:r>
      <w:r>
        <w:t>Data and statistical analysis of the graphics in the Figure3: lactate secretion (sheet 1), intracellular lactate measurements (sheet 2), spheroid growth (sheet 3), spheroid invasion (sheet 4), mice-implanted tumor quantification (sheets 5 and 6), and survival curves (sheet 7).</w:t>
      </w:r>
    </w:p>
    <w:p w14:paraId="249591F5" w14:textId="77777777" w:rsidR="006A07F7" w:rsidRDefault="006A07F7" w:rsidP="006A07F7">
      <w:pPr>
        <w:rPr>
          <w:b/>
        </w:rPr>
      </w:pPr>
    </w:p>
    <w:p w14:paraId="190D2379" w14:textId="77777777" w:rsidR="006A07F7" w:rsidRPr="006A07F7" w:rsidRDefault="006A07F7" w:rsidP="006A07F7">
      <w:pPr>
        <w:rPr>
          <w:u w:val="single"/>
        </w:rPr>
      </w:pPr>
      <w:r w:rsidRPr="006A07F7">
        <w:rPr>
          <w:b/>
          <w:u w:val="single"/>
        </w:rPr>
        <w:t>Title:</w:t>
      </w:r>
      <w:r w:rsidRPr="006A07F7">
        <w:rPr>
          <w:u w:val="single"/>
        </w:rPr>
        <w:t xml:space="preserve"> Source Data Fig4</w:t>
      </w:r>
    </w:p>
    <w:p w14:paraId="281686AA" w14:textId="77777777" w:rsidR="006A07F7" w:rsidRDefault="006A07F7" w:rsidP="006A07F7">
      <w:r w:rsidRPr="000F75E0">
        <w:rPr>
          <w:b/>
        </w:rPr>
        <w:t>Description:</w:t>
      </w:r>
      <w:r>
        <w:rPr>
          <w:b/>
        </w:rPr>
        <w:t xml:space="preserve"> </w:t>
      </w:r>
      <w:r>
        <w:t>Data and statistical analysis of the graphics in the Figure4: exometabolome measurements (sheet 1).</w:t>
      </w:r>
    </w:p>
    <w:p w14:paraId="0338F9F5" w14:textId="77777777" w:rsidR="006A07F7" w:rsidRDefault="006A07F7" w:rsidP="006A07F7"/>
    <w:p w14:paraId="3BD9E972" w14:textId="77777777" w:rsidR="006A07F7" w:rsidRPr="006A07F7" w:rsidRDefault="006A07F7" w:rsidP="006A07F7">
      <w:pPr>
        <w:rPr>
          <w:u w:val="single"/>
        </w:rPr>
      </w:pPr>
      <w:r w:rsidRPr="006A07F7">
        <w:rPr>
          <w:u w:val="single"/>
        </w:rPr>
        <w:t xml:space="preserve"> </w:t>
      </w:r>
      <w:r w:rsidRPr="006A07F7">
        <w:rPr>
          <w:b/>
          <w:u w:val="single"/>
        </w:rPr>
        <w:t>Title:</w:t>
      </w:r>
      <w:r w:rsidRPr="006A07F7">
        <w:rPr>
          <w:u w:val="single"/>
        </w:rPr>
        <w:t xml:space="preserve"> Source Data Fig5</w:t>
      </w:r>
    </w:p>
    <w:p w14:paraId="31DD9229" w14:textId="77777777" w:rsidR="006A07F7" w:rsidRDefault="006A07F7" w:rsidP="006A07F7">
      <w:r w:rsidRPr="000F75E0">
        <w:rPr>
          <w:b/>
        </w:rPr>
        <w:t>Description:</w:t>
      </w:r>
      <w:r>
        <w:rPr>
          <w:b/>
        </w:rPr>
        <w:t xml:space="preserve"> </w:t>
      </w:r>
      <w:r>
        <w:t>Data and statistical analysis of the graphics in the Figure5: densitometry analysis (sheet 1), mitochondrial morphology and mass (sheet 2), oxygraphy (sheet 3), and survival curves (sheet 4).</w:t>
      </w:r>
    </w:p>
    <w:p w14:paraId="1C3CEDE9" w14:textId="77777777" w:rsidR="006A07F7" w:rsidRDefault="006A07F7" w:rsidP="006A07F7">
      <w:r w:rsidRPr="00C44439">
        <w:t xml:space="preserve"> </w:t>
      </w:r>
    </w:p>
    <w:p w14:paraId="687FD444" w14:textId="77777777" w:rsidR="006A07F7" w:rsidRPr="006A07F7" w:rsidRDefault="006A07F7" w:rsidP="006A07F7">
      <w:pPr>
        <w:rPr>
          <w:u w:val="single"/>
        </w:rPr>
      </w:pPr>
      <w:r w:rsidRPr="006A07F7">
        <w:rPr>
          <w:b/>
          <w:u w:val="single"/>
        </w:rPr>
        <w:t>Title:</w:t>
      </w:r>
      <w:r w:rsidRPr="006A07F7">
        <w:rPr>
          <w:u w:val="single"/>
        </w:rPr>
        <w:t xml:space="preserve"> Source Data Fig6</w:t>
      </w:r>
    </w:p>
    <w:p w14:paraId="0AFF1FA1" w14:textId="77777777" w:rsidR="006A07F7" w:rsidRDefault="006A07F7" w:rsidP="006A07F7">
      <w:r w:rsidRPr="000F75E0">
        <w:rPr>
          <w:b/>
        </w:rPr>
        <w:t>Description:</w:t>
      </w:r>
      <w:r>
        <w:rPr>
          <w:b/>
        </w:rPr>
        <w:t xml:space="preserve"> </w:t>
      </w:r>
      <w:r>
        <w:t>Data and statistical analysis of the graphics in the Figure6: intracellular lactate measurements (sheet 1), oxygraphy (sheet 2), spheroid growth (sheet 3), spheroid invasion (sheet 4), survival (sheet 5), and mice-implanted tumor quantification (sheet 6).</w:t>
      </w:r>
    </w:p>
    <w:p w14:paraId="786D1EAE" w14:textId="77777777" w:rsidR="006A07F7" w:rsidRPr="00C44439" w:rsidRDefault="006A07F7" w:rsidP="006A07F7">
      <w:r w:rsidRPr="00C44439">
        <w:t xml:space="preserve"> </w:t>
      </w:r>
    </w:p>
    <w:p w14:paraId="0D3EE616" w14:textId="77777777" w:rsidR="006A07F7" w:rsidRPr="006A07F7" w:rsidRDefault="006A07F7" w:rsidP="006A07F7">
      <w:pPr>
        <w:rPr>
          <w:u w:val="single"/>
        </w:rPr>
      </w:pPr>
      <w:r w:rsidRPr="006A07F7">
        <w:rPr>
          <w:b/>
          <w:u w:val="single"/>
        </w:rPr>
        <w:t>Title:</w:t>
      </w:r>
      <w:r w:rsidRPr="006A07F7">
        <w:rPr>
          <w:u w:val="single"/>
        </w:rPr>
        <w:t xml:space="preserve"> Source Data RNAseq</w:t>
      </w:r>
    </w:p>
    <w:p w14:paraId="410D8A9F" w14:textId="77777777" w:rsidR="006A07F7" w:rsidRDefault="006A07F7" w:rsidP="006A07F7">
      <w:r w:rsidRPr="000F75E0">
        <w:rPr>
          <w:b/>
        </w:rPr>
        <w:t>Description:</w:t>
      </w:r>
      <w:r>
        <w:rPr>
          <w:b/>
        </w:rPr>
        <w:t xml:space="preserve"> </w:t>
      </w:r>
      <w:r>
        <w:t>Human genes classified with DESeq2 in P3 sgControl, sgLDHA, sgLDHB and sgLDHA/B cell lines at 21% or 0.1% O</w:t>
      </w:r>
      <w:r>
        <w:rPr>
          <w:vertAlign w:val="subscript"/>
        </w:rPr>
        <w:t>2</w:t>
      </w:r>
      <w:r>
        <w:t>. Two-class comparisons using the R package DESeq2 were performed with P3 sgControl and sgLDHA (sheets 1 and 2), sgControl and sgLDHB (sheets 3 and 4) and sgCont and sgLDHA/B (sheets 5 and 6) genes.</w:t>
      </w:r>
    </w:p>
    <w:p w14:paraId="3F8BCB2E" w14:textId="77777777" w:rsidR="006A07F7" w:rsidRDefault="006A07F7" w:rsidP="006A07F7">
      <w:pPr>
        <w:rPr>
          <w:b/>
        </w:rPr>
      </w:pPr>
    </w:p>
    <w:p w14:paraId="70FE803F" w14:textId="77777777" w:rsidR="006A07F7" w:rsidRPr="006A07F7" w:rsidRDefault="006A07F7" w:rsidP="006A07F7">
      <w:pPr>
        <w:rPr>
          <w:u w:val="single"/>
        </w:rPr>
      </w:pPr>
      <w:r w:rsidRPr="006A07F7">
        <w:rPr>
          <w:b/>
          <w:u w:val="single"/>
        </w:rPr>
        <w:t>Title:</w:t>
      </w:r>
      <w:r w:rsidRPr="006A07F7">
        <w:rPr>
          <w:u w:val="single"/>
        </w:rPr>
        <w:t xml:space="preserve"> Source Data Supp Fig2</w:t>
      </w:r>
    </w:p>
    <w:p w14:paraId="6E8AD73C" w14:textId="77777777" w:rsidR="006A07F7" w:rsidRDefault="006A07F7" w:rsidP="006A07F7">
      <w:r w:rsidRPr="000F75E0">
        <w:rPr>
          <w:b/>
        </w:rPr>
        <w:t>Description:</w:t>
      </w:r>
      <w:r>
        <w:rPr>
          <w:b/>
        </w:rPr>
        <w:t xml:space="preserve"> </w:t>
      </w:r>
      <w:r w:rsidRPr="00FC13B6">
        <w:t>D</w:t>
      </w:r>
      <w:r>
        <w:t>ata and statistical analysis of the graphics in the Supp Figure2: densitometry analysis (sheet 1), lactate secretion (sheet 2), LDHs activity (sheet 3), LDHB activity (sheet 4), spheroid growth and viability (sheet 5), cellular morphology (sheet 6), and spheroid invasion (sheet 7).</w:t>
      </w:r>
    </w:p>
    <w:p w14:paraId="5F701DCB" w14:textId="77777777" w:rsidR="006A07F7" w:rsidRDefault="006A07F7" w:rsidP="006A07F7">
      <w:pPr>
        <w:rPr>
          <w:b/>
        </w:rPr>
      </w:pPr>
    </w:p>
    <w:p w14:paraId="6B33DE78" w14:textId="77777777" w:rsidR="006A07F7" w:rsidRPr="006A07F7" w:rsidRDefault="006A07F7" w:rsidP="006A07F7">
      <w:pPr>
        <w:rPr>
          <w:u w:val="single"/>
        </w:rPr>
      </w:pPr>
      <w:r w:rsidRPr="006A07F7">
        <w:rPr>
          <w:b/>
          <w:u w:val="single"/>
        </w:rPr>
        <w:t>Title:</w:t>
      </w:r>
      <w:r w:rsidRPr="006A07F7">
        <w:rPr>
          <w:u w:val="single"/>
        </w:rPr>
        <w:t xml:space="preserve"> Source Data Supp Fig4</w:t>
      </w:r>
    </w:p>
    <w:p w14:paraId="706F9F41" w14:textId="053D7F2C" w:rsidR="006A07F7" w:rsidRPr="00C44439" w:rsidRDefault="006A07F7" w:rsidP="006A07F7">
      <w:r w:rsidRPr="000F75E0">
        <w:rPr>
          <w:b/>
        </w:rPr>
        <w:t>Description:</w:t>
      </w:r>
      <w:r>
        <w:rPr>
          <w:b/>
        </w:rPr>
        <w:t xml:space="preserve"> </w:t>
      </w:r>
      <w:r w:rsidRPr="00FC13B6">
        <w:t>D</w:t>
      </w:r>
      <w:r>
        <w:t xml:space="preserve">ata and statistical analysis of the graphics in the Supp Figure4: LDHs activity (sheet 1), LDHB activity (sheet 2), Annexin-V quantification (sheet 3), spheroid invasion (sheet 4), ELISA VEGF analysis (sheet 5), survival curves (sheets 6 and 7). </w:t>
      </w:r>
    </w:p>
    <w:p w14:paraId="1985AF01" w14:textId="52AB1B21" w:rsidR="00CA6A4F" w:rsidRPr="009B5055" w:rsidRDefault="00CA6A4F" w:rsidP="009B5055">
      <w:pPr>
        <w:tabs>
          <w:tab w:val="clear" w:pos="7240"/>
        </w:tabs>
        <w:spacing w:line="240" w:lineRule="auto"/>
        <w:jc w:val="left"/>
        <w:rPr>
          <w:rFonts w:eastAsiaTheme="minorHAnsi"/>
          <w:b/>
          <w:sz w:val="24"/>
          <w:u w:val="single"/>
          <w:lang w:val="en-GB" w:bidi="en-US"/>
        </w:rPr>
      </w:pPr>
      <w:r w:rsidRPr="00213A39">
        <w:rPr>
          <w:rFonts w:eastAsiaTheme="minorHAnsi"/>
          <w:b/>
          <w:sz w:val="24"/>
          <w:u w:val="single"/>
          <w:lang w:val="en-GB" w:bidi="en-US"/>
        </w:rPr>
        <w:t>Supplemental Experimental Procedures</w:t>
      </w:r>
    </w:p>
    <w:p w14:paraId="28F17891" w14:textId="77777777" w:rsidR="009B5055" w:rsidRDefault="009B5055" w:rsidP="00A46B66">
      <w:pPr>
        <w:pStyle w:val="Paragraphedeliste"/>
        <w:spacing w:before="120" w:after="120"/>
        <w:ind w:left="0" w:right="-23"/>
        <w:contextualSpacing w:val="0"/>
        <w:rPr>
          <w:b/>
          <w:bCs/>
          <w:u w:val="single"/>
        </w:rPr>
      </w:pPr>
    </w:p>
    <w:p w14:paraId="6E0BA13F" w14:textId="1325B730" w:rsidR="00A46B66" w:rsidRPr="00A46B66" w:rsidRDefault="00A46B66" w:rsidP="00A46B66">
      <w:pPr>
        <w:pStyle w:val="Paragraphedeliste"/>
        <w:spacing w:before="120" w:after="120"/>
        <w:ind w:left="0" w:right="-23"/>
        <w:contextualSpacing w:val="0"/>
        <w:rPr>
          <w:b/>
          <w:sz w:val="24"/>
          <w:u w:val="single"/>
        </w:rPr>
      </w:pPr>
      <w:r w:rsidRPr="00A46B66">
        <w:rPr>
          <w:b/>
          <w:bCs/>
          <w:u w:val="single"/>
        </w:rPr>
        <w:t>TCGA Glioblastoma cohort</w:t>
      </w:r>
    </w:p>
    <w:p w14:paraId="4F35DB5B" w14:textId="77777777" w:rsidR="00A46B66" w:rsidRDefault="00A46B66" w:rsidP="00A46B66">
      <w:r>
        <w:lastRenderedPageBreak/>
        <w:t xml:space="preserve">The TCGA Glioblastoma (GBM) RNAseqV2 normalized data (level 3, log2(x+1) transformed RSEM normalized count, version </w:t>
      </w:r>
      <w:r>
        <w:rPr>
          <w:rStyle w:val="object"/>
        </w:rPr>
        <w:t>2017-10-13</w:t>
      </w:r>
      <w:r>
        <w:t>), the associated clinical data and complementary clinical data from GDC pancan were downloaded from the xenabrowser website datapages (</w:t>
      </w:r>
      <w:hyperlink r:id="rId5" w:tgtFrame="_blank" w:history="1">
        <w:r>
          <w:rPr>
            <w:rStyle w:val="Lienhypertexte"/>
          </w:rPr>
          <w:t>https://xenabrowser.net/datapages/</w:t>
        </w:r>
      </w:hyperlink>
      <w:r>
        <w:t>). </w:t>
      </w:r>
      <w:r>
        <w:br/>
        <w:t>For the genes LDHA and LDHB, primary tumor samples from the GBM cohort were split into three groups of equivalent size defined by the level of their expression. Overall survival (in months) was used to estimate survival distributions using the Kaplan–Meier method and the three distributions were compared using the log</w:t>
      </w:r>
      <w:r>
        <w:rPr>
          <w:rFonts w:ascii="Cambria Math" w:hAnsi="Cambria Math" w:cs="Cambria Math"/>
        </w:rPr>
        <w:t>‐</w:t>
      </w:r>
      <w:r>
        <w:t>rank test.</w:t>
      </w:r>
    </w:p>
    <w:p w14:paraId="602D1A6F" w14:textId="77777777" w:rsidR="00A46B66" w:rsidRDefault="00A46B66" w:rsidP="00A46B66"/>
    <w:p w14:paraId="3D5BEF23" w14:textId="77777777" w:rsidR="00A46B66" w:rsidRPr="00A46B66" w:rsidRDefault="00A46B66" w:rsidP="00A46B66">
      <w:pPr>
        <w:rPr>
          <w:u w:val="single"/>
        </w:rPr>
      </w:pPr>
      <w:r w:rsidRPr="00A46B66">
        <w:rPr>
          <w:b/>
          <w:bCs/>
          <w:u w:val="single"/>
        </w:rPr>
        <w:t>Ivy-GAP cohort</w:t>
      </w:r>
    </w:p>
    <w:p w14:paraId="0AF1F141" w14:textId="77777777" w:rsidR="00A46B66" w:rsidRDefault="00A46B66" w:rsidP="00A46B66">
      <w:r>
        <w:t>The expression of  HIF1A, LDHA and LDHB were downloaded from the IVY-GAP website (</w:t>
      </w:r>
      <w:hyperlink r:id="rId6" w:tgtFrame="_blank" w:history="1">
        <w:r>
          <w:rPr>
            <w:rStyle w:val="Lienhypertexte"/>
          </w:rPr>
          <w:t>https://glioblastoma.alleninstitute.org/rnaseq/search/index.html</w:t>
        </w:r>
      </w:hyperlink>
      <w:r>
        <w:t>) with associated clinical data. Spearman correlation was computed between HIF1A and LDHA and between HIF1A and LDHA for all samples and for each anatomic structure separately. </w:t>
      </w:r>
    </w:p>
    <w:p w14:paraId="4A87C50E" w14:textId="77777777" w:rsidR="00A46B66" w:rsidRDefault="00A46B66" w:rsidP="00140F71">
      <w:pPr>
        <w:rPr>
          <w:rFonts w:eastAsia="Times New Roman"/>
          <w:b/>
          <w:u w:val="single"/>
          <w:lang w:val="en-GB" w:eastAsia="fr-FR"/>
        </w:rPr>
      </w:pPr>
    </w:p>
    <w:p w14:paraId="38976BCA" w14:textId="7EC0EE6D" w:rsidR="00620A65" w:rsidRPr="00620A65" w:rsidRDefault="00540B96" w:rsidP="00140F71">
      <w:pPr>
        <w:rPr>
          <w:rFonts w:eastAsia="Times New Roman"/>
          <w:b/>
          <w:lang w:val="en-GB" w:eastAsia="fr-FR"/>
        </w:rPr>
      </w:pPr>
      <w:r w:rsidRPr="00032EBC">
        <w:rPr>
          <w:rFonts w:eastAsia="Times New Roman"/>
          <w:b/>
          <w:u w:val="single"/>
          <w:lang w:val="en-GB" w:eastAsia="fr-FR"/>
        </w:rPr>
        <w:t>RNA sequencing</w:t>
      </w:r>
      <w:r w:rsidRPr="00032EBC">
        <w:rPr>
          <w:rFonts w:eastAsia="Times New Roman"/>
          <w:b/>
          <w:lang w:val="en-GB" w:eastAsia="fr-FR"/>
        </w:rPr>
        <w:t xml:space="preserve"> </w:t>
      </w:r>
    </w:p>
    <w:p w14:paraId="240F0797" w14:textId="085A0BF0" w:rsidR="004A2E52" w:rsidRDefault="004A2E52" w:rsidP="0018187A">
      <w:pPr>
        <w:pStyle w:val="Paragraphedeliste"/>
        <w:numPr>
          <w:ilvl w:val="0"/>
          <w:numId w:val="4"/>
        </w:numPr>
        <w:spacing w:before="120" w:after="120"/>
        <w:ind w:right="-23"/>
        <w:contextualSpacing w:val="0"/>
        <w:rPr>
          <w:b/>
        </w:rPr>
      </w:pPr>
      <w:r w:rsidRPr="00DA5940">
        <w:rPr>
          <w:b/>
        </w:rPr>
        <w:t>Sample preparations</w:t>
      </w:r>
      <w:r w:rsidR="00706929">
        <w:rPr>
          <w:b/>
        </w:rPr>
        <w:t xml:space="preserve"> and RNA sequencing</w:t>
      </w:r>
    </w:p>
    <w:p w14:paraId="335E8486" w14:textId="6796613C" w:rsidR="00F66667" w:rsidRDefault="00F66667" w:rsidP="00F66667">
      <w:pPr>
        <w:rPr>
          <w:rFonts w:eastAsia="Times New Roman"/>
          <w:lang w:val="en-GB" w:eastAsia="fr-FR"/>
        </w:rPr>
      </w:pPr>
      <w:r w:rsidRPr="00F66667">
        <w:rPr>
          <w:color w:val="000000"/>
          <w:shd w:val="clear" w:color="auto" w:fill="FFFFFF"/>
        </w:rPr>
        <w:t>P3 sgC</w:t>
      </w:r>
      <w:r w:rsidR="00A044CB">
        <w:rPr>
          <w:color w:val="000000"/>
          <w:shd w:val="clear" w:color="auto" w:fill="FFFFFF"/>
        </w:rPr>
        <w:t>ontrol</w:t>
      </w:r>
      <w:r w:rsidRPr="00F66667">
        <w:rPr>
          <w:color w:val="000000"/>
          <w:shd w:val="clear" w:color="auto" w:fill="FFFFFF"/>
        </w:rPr>
        <w:t xml:space="preserve">, sgLDHA, sgLDHB and sgLDHA/B were cultivated under 0.1% or 21% oxygen for 48h. </w:t>
      </w:r>
      <w:r w:rsidRPr="00F66667">
        <w:rPr>
          <w:rFonts w:eastAsia="Times New Roman"/>
          <w:lang w:val="en-GB" w:eastAsia="fr-FR"/>
        </w:rPr>
        <w:t>Total RNA was extracted from fresh frozen cells with the Qiagen RNeasy Mini Kit according to the manufacturer’s protocol. Quality and quantity of RNA was checked using a Fragment Analyzer (Agilent) with the company’s Standard Sensitivity RNA Kit (DNF-471).</w:t>
      </w:r>
      <w:r w:rsidR="00A044CB">
        <w:rPr>
          <w:rFonts w:eastAsia="Times New Roman"/>
          <w:lang w:val="en-GB" w:eastAsia="fr-FR"/>
        </w:rPr>
        <w:t xml:space="preserve"> </w:t>
      </w:r>
      <w:r w:rsidRPr="00F66667">
        <w:rPr>
          <w:rFonts w:eastAsia="Times New Roman"/>
          <w:lang w:val="en-GB" w:eastAsia="fr-FR"/>
        </w:rPr>
        <w:t>Libraries were prepared using the TruSeq stranded mRNA Kit (Illumina). All barcoded samples were pooled and sequenced together in 75nt paired-end mode with an Illumina NextSeq500 in 2 runs to reach sufficient coverage. Runs were demultiplexed with bcl2fastq (v2.20.0.422, Illumina).</w:t>
      </w:r>
    </w:p>
    <w:p w14:paraId="003F9651" w14:textId="77777777" w:rsidR="00A044CB" w:rsidRPr="00F66667" w:rsidRDefault="00A044CB" w:rsidP="00F66667">
      <w:pPr>
        <w:rPr>
          <w:rFonts w:eastAsia="Times New Roman"/>
          <w:lang w:val="en-GB" w:eastAsia="fr-FR"/>
        </w:rPr>
      </w:pPr>
    </w:p>
    <w:p w14:paraId="1252E436" w14:textId="2BB63563" w:rsidR="00B10789" w:rsidRPr="0018187A" w:rsidRDefault="00706929" w:rsidP="0018187A">
      <w:pPr>
        <w:pStyle w:val="Paragraphedeliste"/>
        <w:numPr>
          <w:ilvl w:val="0"/>
          <w:numId w:val="4"/>
        </w:numPr>
        <w:rPr>
          <w:rFonts w:eastAsia="Times New Roman"/>
          <w:b/>
          <w:lang w:val="en-GB" w:eastAsia="fr-FR"/>
        </w:rPr>
      </w:pPr>
      <w:r>
        <w:rPr>
          <w:rFonts w:eastAsia="Times New Roman"/>
          <w:b/>
          <w:lang w:val="en-GB" w:eastAsia="fr-FR"/>
        </w:rPr>
        <w:t>Bioinformatics analysis</w:t>
      </w:r>
      <w:r w:rsidR="00981D60" w:rsidRPr="0018187A">
        <w:rPr>
          <w:rFonts w:eastAsia="Times New Roman"/>
          <w:b/>
          <w:lang w:val="en-GB" w:eastAsia="fr-FR"/>
        </w:rPr>
        <w:t xml:space="preserve"> </w:t>
      </w:r>
    </w:p>
    <w:p w14:paraId="3B69E4B9" w14:textId="2EE4300E" w:rsidR="00B10789" w:rsidRDefault="00981D60" w:rsidP="00140F71">
      <w:pPr>
        <w:rPr>
          <w:rFonts w:eastAsia="Times New Roman"/>
          <w:lang w:val="en-GB" w:eastAsia="fr-FR"/>
        </w:rPr>
      </w:pPr>
      <w:r w:rsidRPr="00981D60">
        <w:rPr>
          <w:rFonts w:eastAsia="Times New Roman"/>
          <w:lang w:val="en-GB" w:eastAsia="fr-FR"/>
        </w:rPr>
        <w:lastRenderedPageBreak/>
        <w:t>Quality of obtained fastq files was initially checked by FastQC v0.11.4</w:t>
      </w:r>
      <w:r w:rsidR="009B5055">
        <w:rPr>
          <w:rFonts w:eastAsia="Times New Roman"/>
          <w:lang w:val="en-GB" w:eastAsia="fr-FR"/>
        </w:rPr>
        <w:t xml:space="preserve"> </w:t>
      </w:r>
      <w:r w:rsidR="009B5055">
        <w:rPr>
          <w:rFonts w:eastAsia="Times New Roman"/>
          <w:lang w:val="en-GB" w:eastAsia="fr-FR"/>
        </w:rPr>
        <w:fldChar w:fldCharType="begin"/>
      </w:r>
      <w:r w:rsidR="009B5055">
        <w:rPr>
          <w:rFonts w:eastAsia="Times New Roman"/>
          <w:lang w:val="en-GB" w:eastAsia="fr-FR"/>
        </w:rPr>
        <w:instrText xml:space="preserve"> ADDIN ZOTERO_ITEM CSL_CITATION {"citationID":"AAKr33ip","properties":{"formattedCitation":"\\super 2\\nosupersub{}","plainCitation":"2","noteIndex":0},"citationItems":[{"id":373,"uris":["http://zotero.org/users/local/CYmw5IYM/items/T4T9D5AW"],"uri":["http://zotero.org/users/local/CYmw5IYM/items/T4T9D5AW"],"itemData":{"id":373,"type":"article-journal","abstract":"DNA sequencing analysis typically involves mapping reads to just one reference genome. Mapping against multiple genomes is necessary, however, when the genome of origin requires confirmation. Mapping against multiple genomes is also advisable for detecting contamination or for identifying sample swaps which, if left undetected, may lead to incorrect experimental conclusions. Consequently, we present FastQ Screen, a tool to validate the origin of DNA samples by quantifying the proportion of reads that map to a panel of reference genomes. FastQ Screen is intended to be used routinely as a quality control measure and for analysing samples in which the origin of the DNA is uncertain or has multiple sources.","container-title":"F1000Research","DOI":"10.12688/f1000research.15931.2","ISSN":"2046-1402","journalAbbreviation":"F1000Res","language":"eng","note":"PMID: 30254741\nPMCID: PMC6124377","page":"1338","source":"PubMed","title":"FastQ Screen: A tool for multi-genome mapping and quality control","title-short":"FastQ Screen","volume":"7","author":[{"family":"Wingett","given":"Steven W."},{"family":"Andrews","given":"Simon"}],"issued":{"date-parts":[["2018"]]}}}],"schema":"https://github.com/citation-style-language/schema/raw/master/csl-citation.json"} </w:instrText>
      </w:r>
      <w:r w:rsidR="009B5055">
        <w:rPr>
          <w:rFonts w:eastAsia="Times New Roman"/>
          <w:lang w:val="en-GB" w:eastAsia="fr-FR"/>
        </w:rPr>
        <w:fldChar w:fldCharType="separate"/>
      </w:r>
      <w:r w:rsidR="009B5055" w:rsidRPr="009B5055">
        <w:rPr>
          <w:vertAlign w:val="superscript"/>
        </w:rPr>
        <w:t>2</w:t>
      </w:r>
      <w:r w:rsidR="009B5055">
        <w:rPr>
          <w:rFonts w:eastAsia="Times New Roman"/>
          <w:lang w:val="en-GB" w:eastAsia="fr-FR"/>
        </w:rPr>
        <w:fldChar w:fldCharType="end"/>
      </w:r>
      <w:r w:rsidR="009B5055">
        <w:rPr>
          <w:rFonts w:eastAsia="Times New Roman"/>
          <w:lang w:val="en-GB" w:eastAsia="fr-FR"/>
        </w:rPr>
        <w:t xml:space="preserve"> </w:t>
      </w:r>
      <w:r w:rsidRPr="00981D60">
        <w:rPr>
          <w:rFonts w:eastAsia="Times New Roman"/>
          <w:lang w:val="en-GB" w:eastAsia="fr-FR"/>
        </w:rPr>
        <w:t>followed by adapter removal and quality trimming using Trim Galore v0.4.2. Mapping of reads to the human reference genome (GRCh38 Ensembl release 95) was done using STAR v2.5.3a with standard settings</w:t>
      </w:r>
      <w:r w:rsidR="009B5055">
        <w:rPr>
          <w:rFonts w:eastAsia="Times New Roman"/>
          <w:lang w:val="en-GB" w:eastAsia="fr-FR"/>
        </w:rPr>
        <w:fldChar w:fldCharType="begin"/>
      </w:r>
      <w:r w:rsidR="009B5055">
        <w:rPr>
          <w:rFonts w:eastAsia="Times New Roman"/>
          <w:lang w:val="en-GB" w:eastAsia="fr-FR"/>
        </w:rPr>
        <w:instrText xml:space="preserve"> ADDIN ZOTERO_ITEM CSL_CITATION {"citationID":"GOPARTNY","properties":{"formattedCitation":"\\super 3\\nosupersub{}","plainCitation":"3","noteIndex":0},"citationItems":[{"id":376,"uris":["http://zotero.org/users/local/CYmw5IYM/items/ZMANMXZX"],"uri":["http://zotero.org/users/local/CYmw5IYM/items/ZMANMXZX"],"itemData":{"id":376,"type":"article-journal","abstract":"MOTIVATION: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biases.\nRESULTS: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strategy.\nAVAILABILITY AND IMPLEMENTATION: STAR is implemented as a standalone C++ code. STAR is free open source software distributed under GPLv3 license and can be downloaded from http://code.google.com/p/rna-star/.","container-title":"Bioinformatics (Oxford, England)","DOI":"10.1093/bioinformatics/bts635","ISSN":"1367-4811","issue":"1","journalAbbreviation":"Bioinformatics","language":"eng","note":"PMID: 23104886\nPMCID: PMC3530905","page":"15-21","source":"PubMed","title":"STAR: ultrafast universal RNA-seq aligner","title-short":"STAR","volume":"29","author":[{"family":"Dobin","given":"Alexander"},{"family":"Davis","given":"Carrie A."},{"family":"Schlesinger","given":"Felix"},{"family":"Drenkow","given":"Jorg"},{"family":"Zaleski","given":"Chris"},{"family":"Jha","given":"Sonali"},{"family":"Batut","given":"Philippe"},{"family":"Chaisson","given":"Mark"},{"family":"Gingeras","given":"Thomas R."}],"issued":{"date-parts":[["2013",1,1]]}}}],"schema":"https://github.com/citation-style-language/schema/raw/master/csl-citation.json"} </w:instrText>
      </w:r>
      <w:r w:rsidR="009B5055">
        <w:rPr>
          <w:rFonts w:eastAsia="Times New Roman"/>
          <w:lang w:val="en-GB" w:eastAsia="fr-FR"/>
        </w:rPr>
        <w:fldChar w:fldCharType="separate"/>
      </w:r>
      <w:r w:rsidR="009B5055" w:rsidRPr="009B5055">
        <w:rPr>
          <w:vertAlign w:val="superscript"/>
        </w:rPr>
        <w:t>3</w:t>
      </w:r>
      <w:r w:rsidR="009B5055">
        <w:rPr>
          <w:rFonts w:eastAsia="Times New Roman"/>
          <w:lang w:val="en-GB" w:eastAsia="fr-FR"/>
        </w:rPr>
        <w:fldChar w:fldCharType="end"/>
      </w:r>
      <w:r w:rsidRPr="00981D60">
        <w:rPr>
          <w:rFonts w:eastAsia="Times New Roman"/>
          <w:lang w:val="en-GB" w:eastAsia="fr-FR"/>
        </w:rPr>
        <w:t xml:space="preserve"> and duplicates were marked using Picard tools v1.</w:t>
      </w:r>
      <w:r w:rsidRPr="009B5055">
        <w:rPr>
          <w:rFonts w:eastAsia="Times New Roman"/>
          <w:lang w:val="en-GB" w:eastAsia="fr-FR"/>
        </w:rPr>
        <w:t>141.</w:t>
      </w:r>
      <w:r w:rsidRPr="00981D60">
        <w:rPr>
          <w:rFonts w:eastAsia="Times New Roman"/>
          <w:lang w:val="en-GB" w:eastAsia="fr-FR"/>
        </w:rPr>
        <w:t xml:space="preserve"> </w:t>
      </w:r>
    </w:p>
    <w:p w14:paraId="687858A8" w14:textId="3B1BF85E" w:rsidR="00981D60" w:rsidRDefault="00981D60" w:rsidP="00140F71">
      <w:pPr>
        <w:rPr>
          <w:rFonts w:eastAsia="Times New Roman"/>
          <w:lang w:val="en-GB" w:eastAsia="fr-FR"/>
        </w:rPr>
      </w:pPr>
      <w:r w:rsidRPr="00981D60">
        <w:rPr>
          <w:rFonts w:eastAsia="Times New Roman"/>
          <w:lang w:val="en-GB" w:eastAsia="fr-FR"/>
        </w:rPr>
        <w:t xml:space="preserve">Quality analysis of mapped reads was done using RSeQC v3.0.0 </w:t>
      </w:r>
      <w:r w:rsidR="009B5055">
        <w:rPr>
          <w:rFonts w:eastAsia="Times New Roman"/>
          <w:lang w:val="en-GB" w:eastAsia="fr-FR"/>
        </w:rPr>
        <w:fldChar w:fldCharType="begin"/>
      </w:r>
      <w:r w:rsidR="009B5055">
        <w:rPr>
          <w:rFonts w:eastAsia="Times New Roman"/>
          <w:lang w:val="en-GB" w:eastAsia="fr-FR"/>
        </w:rPr>
        <w:instrText xml:space="preserve"> ADDIN ZOTERO_ITEM CSL_CITATION {"citationID":"iRJSvnC8","properties":{"formattedCitation":"\\super 4\\nosupersub{}","plainCitation":"4","noteIndex":0},"citationItems":[{"id":379,"uris":["http://zotero.org/users/local/CYmw5IYM/items/KELB9U72"],"uri":["http://zotero.org/users/local/CYmw5IYM/items/KELB9U72"],"itemData":{"id":379,"type":"article-journal","abstract":"MOTIVATION: RNA-seq has been extensively used for transcriptome study. Quality control (QC) is critical to ensure that RNA-seq data are of high quality and suitable for subsequent analyses. However, QC is a time-consuming and complex task, due to the massive size and versatile nature of RNA-seq data. Therefore, a convenient and comprehensive QC tool to assess RNA-seq quality is sorely needed.\nRESULTS: We developed the RSeQC package to comprehensively evaluate different aspects of RNA-seq experiments, such as sequence quality, GC bias, polymerase chain reaction bias, nucleotide composition bias, sequencing depth, strand specificity, coverage uniformity and read distribution over the genome structure. RSeQC takes both SAM and BAM files as input, which can be produced by most RNA-seq mapping tools as well as BED files, which are widely used for gene models. Most modules in RSeQC take advantage of R scripts for visualization, and they are notably efficient in dealing with large BAM/SAM files containing hundreds of millions of alignments.\nAVAILABILITY AND IMPLEMENTATION: RSeQC is written in Python and C. Source code and a comprehensive user's manual are freely available at: http://code.google.com/p/rseqc/.","container-title":"Bioinformatics (Oxford, England)","DOI":"10.1093/bioinformatics/bts356","ISSN":"1367-4811","issue":"16","journalAbbreviation":"Bioinformatics","language":"eng","note":"PMID: 22743226","page":"2184-2185","source":"PubMed","title":"RSeQC: quality control of RNA-seq experiments","title-short":"RSeQC","volume":"28","author":[{"family":"Wang","given":"Liguo"},{"family":"Wang","given":"Shengqin"},{"family":"Li","given":"Wei"}],"issued":{"date-parts":[["2012",8,15]]}}}],"schema":"https://github.com/citation-style-language/schema/raw/master/csl-citation.json"} </w:instrText>
      </w:r>
      <w:r w:rsidR="009B5055">
        <w:rPr>
          <w:rFonts w:eastAsia="Times New Roman"/>
          <w:lang w:val="en-GB" w:eastAsia="fr-FR"/>
        </w:rPr>
        <w:fldChar w:fldCharType="separate"/>
      </w:r>
      <w:r w:rsidR="009B5055" w:rsidRPr="009B5055">
        <w:rPr>
          <w:vertAlign w:val="superscript"/>
        </w:rPr>
        <w:t>4</w:t>
      </w:r>
      <w:r w:rsidR="009B5055">
        <w:rPr>
          <w:rFonts w:eastAsia="Times New Roman"/>
          <w:lang w:val="en-GB" w:eastAsia="fr-FR"/>
        </w:rPr>
        <w:fldChar w:fldCharType="end"/>
      </w:r>
      <w:r w:rsidR="009B5055">
        <w:rPr>
          <w:rFonts w:eastAsia="Times New Roman"/>
          <w:lang w:val="en-GB" w:eastAsia="fr-FR"/>
        </w:rPr>
        <w:t xml:space="preserve"> </w:t>
      </w:r>
      <w:r w:rsidRPr="00981D60">
        <w:rPr>
          <w:rFonts w:eastAsia="Times New Roman"/>
          <w:lang w:val="en-GB" w:eastAsia="fr-FR"/>
        </w:rPr>
        <w:t>to analyze read distributions across gene bodies. Raw read counts per gene were determined by counting gene-specific reads in exons of protein-coding genes using FeatureCounts v1.5.3</w:t>
      </w:r>
      <w:r w:rsidR="009B5055">
        <w:rPr>
          <w:rFonts w:eastAsia="Times New Roman"/>
          <w:lang w:val="en-GB" w:eastAsia="fr-FR"/>
        </w:rPr>
        <w:t xml:space="preserve"> </w:t>
      </w:r>
      <w:r w:rsidR="009B5055">
        <w:rPr>
          <w:rFonts w:eastAsia="Times New Roman"/>
          <w:lang w:val="en-GB" w:eastAsia="fr-FR"/>
        </w:rPr>
        <w:fldChar w:fldCharType="begin"/>
      </w:r>
      <w:r w:rsidR="009B5055">
        <w:rPr>
          <w:rFonts w:eastAsia="Times New Roman"/>
          <w:lang w:val="en-GB" w:eastAsia="fr-FR"/>
        </w:rPr>
        <w:instrText xml:space="preserve"> ADDIN ZOTERO_ITEM CSL_CITATION {"citationID":"VBT1Qadp","properties":{"formattedCitation":"\\super 5\\nosupersub{}","plainCitation":"5","noteIndex":0},"citationItems":[{"id":382,"uris":["http://zotero.org/users/local/CYmw5IYM/items/THE5VX2G"],"uri":["http://zotero.org/users/local/CYmw5IYM/items/THE5VX2G"],"itemData":{"id":382,"type":"article-journal","abstract":"MOTIVATION: Next-generation sequencing technologies generate millions of short sequence reads, which are usually aligned to a reference genome. In many applications, the key information required for downstream analysis is the number of reads mapping to each genomic feature, for example to each exon or each gene. The process of counting reads is called read summarization. Read summarization is required for a great variety of genomic analyses but has so far received relatively little attention in the literature.\nRESULTS: We present featureCounts, a read summarization program suitable for counting reads generated from either RNA or genomic DNA sequencing experiments. featureCounts implements highly efficient chromosome hashing and feature blocking techniques. It is considerably faster than existing methods (by an order of magnitude for gene-level summarization) and requires far less computer memory. It works with either single or paired-end reads and provides a wide range of options appropriate for different sequencing applications.\nAVAILABILITY AND IMPLEMENTATION: featureCounts is available under GNU General Public License as part of the Subread (http://subread.sourceforge.net) or Rsubread (http://www.bioconductor.org) software packages.","container-title":"Bioinformatics (Oxford, England)","DOI":"10.1093/bioinformatics/btt656","ISSN":"1367-4811","issue":"7","journalAbbreviation":"Bioinformatics","language":"eng","note":"PMID: 24227677","page":"923-930","source":"PubMed","title":"featureCounts: an efficient general purpose program for assigning sequence reads to genomic features","title-short":"featureCounts","volume":"30","author":[{"family":"Liao","given":"Yang"},{"family":"Smyth","given":"Gordon K."},{"family":"Shi","given":"Wei"}],"issued":{"date-parts":[["2014",4,1]]}}}],"schema":"https://github.com/citation-style-language/schema/raw/master/csl-citation.json"} </w:instrText>
      </w:r>
      <w:r w:rsidR="009B5055">
        <w:rPr>
          <w:rFonts w:eastAsia="Times New Roman"/>
          <w:lang w:val="en-GB" w:eastAsia="fr-FR"/>
        </w:rPr>
        <w:fldChar w:fldCharType="separate"/>
      </w:r>
      <w:r w:rsidR="009B5055" w:rsidRPr="009B5055">
        <w:rPr>
          <w:vertAlign w:val="superscript"/>
        </w:rPr>
        <w:t>5</w:t>
      </w:r>
      <w:r w:rsidR="009B5055">
        <w:rPr>
          <w:rFonts w:eastAsia="Times New Roman"/>
          <w:lang w:val="en-GB" w:eastAsia="fr-FR"/>
        </w:rPr>
        <w:fldChar w:fldCharType="end"/>
      </w:r>
      <w:r w:rsidRPr="00981D60">
        <w:rPr>
          <w:rFonts w:eastAsia="Times New Roman"/>
          <w:lang w:val="en-GB" w:eastAsia="fr-FR"/>
        </w:rPr>
        <w:t>. Finally, a gene expression data matrix was created by removing genes without any reads and lowly expressed genes (less than 1 read per million in more than 50% of samples) followed by cyclic loess normalization resulting in normalized log2-counts per million for 14,111 protein-coding genes that were measured in each sample.</w:t>
      </w:r>
    </w:p>
    <w:p w14:paraId="3D75963F" w14:textId="1C0A41AE" w:rsidR="00A46B66" w:rsidRDefault="00A46B66" w:rsidP="00A46B66">
      <w:pPr>
        <w:rPr>
          <w:color w:val="000000"/>
          <w:shd w:val="clear" w:color="auto" w:fill="FFFFFF"/>
        </w:rPr>
      </w:pPr>
      <w:r w:rsidRPr="00C05334">
        <w:rPr>
          <w:color w:val="000000"/>
          <w:shd w:val="clear" w:color="auto" w:fill="FFFFFF"/>
        </w:rPr>
        <w:t>The R package DESeq2</w:t>
      </w:r>
      <w:r>
        <w:rPr>
          <w:color w:val="000000"/>
          <w:shd w:val="clear" w:color="auto" w:fill="FFFFFF"/>
        </w:rPr>
        <w:fldChar w:fldCharType="begin"/>
      </w:r>
      <w:r w:rsidR="009B5055">
        <w:rPr>
          <w:color w:val="000000"/>
          <w:shd w:val="clear" w:color="auto" w:fill="FFFFFF"/>
        </w:rPr>
        <w:instrText xml:space="preserve"> ADDIN ZOTERO_ITEM CSL_CITATION {"citationID":"LKpi4wb2","properties":{"formattedCitation":"\\super 6\\nosupersub{}","plainCitation":"6","noteIndex":0},"citationItems":[{"id":329,"uris":["http://zotero.org/users/local/CYmw5IYM/items/VBILXC8V"],"uri":["http://zotero.org/users/local/CYmw5IYM/items/VBILXC8V"],"itemData":{"id":329,"type":"article-journal","container-title":"Cancer Cell","DOI":"10.1016/j.ccell.2015.12.004","ISSN":"15356108","issue":"1","journalAbbreviation":"Cancer Cell","language":"en","page":"104-116","source":"DOI.org (Crossref)","title":"An Integrated Metabolic Atlas of Clear Cell Renal Cell Carcinoma","volume":"29","author":[{"family":"Hakimi","given":"A. Ari"},{"family":"Reznik","given":"Ed"},{"family":"Lee","given":"Chung-Han"},{"family":"Creighton","given":"Chad J."},{"family":"Brannon","given":"A. Rose"},{"family":"Luna","given":"Augustin"},{"family":"Aksoy","given":"B. Arman"},{"family":"Liu","given":"Eric Minwei"},{"family":"Shen","given":"Ronglai"},{"family":"Lee","given":"William"},{"family":"Chen","given":"Yang"},{"family":"Stirdivant","given":"Steve M."},{"family":"Russo","given":"Paul"},{"family":"Chen","given":"Ying-Bei"},{"family":"Tickoo","given":"Satish K."},{"family":"Reuter","given":"Victor E."},{"family":"Cheng","given":"Emily H."},{"family":"Sander","given":"Chris"},{"family":"Hsieh","given":"James J."}],"issued":{"date-parts":[["2016",1]]}}}],"schema":"https://github.com/citation-style-language/schema/raw/master/csl-citation.json"} </w:instrText>
      </w:r>
      <w:r>
        <w:rPr>
          <w:color w:val="000000"/>
          <w:shd w:val="clear" w:color="auto" w:fill="FFFFFF"/>
        </w:rPr>
        <w:fldChar w:fldCharType="separate"/>
      </w:r>
      <w:r w:rsidR="009B5055" w:rsidRPr="009B5055">
        <w:rPr>
          <w:color w:val="000000"/>
          <w:vertAlign w:val="superscript"/>
        </w:rPr>
        <w:t>6</w:t>
      </w:r>
      <w:r>
        <w:rPr>
          <w:color w:val="000000"/>
          <w:shd w:val="clear" w:color="auto" w:fill="FFFFFF"/>
        </w:rPr>
        <w:fldChar w:fldCharType="end"/>
      </w:r>
      <w:r w:rsidRPr="00C05334">
        <w:rPr>
          <w:color w:val="000000"/>
          <w:shd w:val="clear" w:color="auto" w:fill="FFFFFF"/>
        </w:rPr>
        <w:t xml:space="preserve"> </w:t>
      </w:r>
      <w:r>
        <w:rPr>
          <w:color w:val="000000"/>
          <w:shd w:val="clear" w:color="auto" w:fill="FFFFFF"/>
        </w:rPr>
        <w:t xml:space="preserve">v1.22.2 </w:t>
      </w:r>
      <w:r w:rsidRPr="00C05334">
        <w:rPr>
          <w:color w:val="000000"/>
          <w:shd w:val="clear" w:color="auto" w:fill="FFFFFF"/>
        </w:rPr>
        <w:t>was used to identify differentially expressed genes</w:t>
      </w:r>
      <w:r>
        <w:rPr>
          <w:color w:val="000000"/>
          <w:shd w:val="clear" w:color="auto" w:fill="FFFFFF"/>
        </w:rPr>
        <w:t xml:space="preserve">. Enrichment analysis was performed using the </w:t>
      </w:r>
      <w:r w:rsidRPr="001526E3">
        <w:rPr>
          <w:color w:val="000000"/>
          <w:shd w:val="clear" w:color="auto" w:fill="FFFFFF"/>
        </w:rPr>
        <w:t>ClusterProfiler</w:t>
      </w:r>
      <w:r>
        <w:rPr>
          <w:color w:val="000000"/>
          <w:shd w:val="clear" w:color="auto" w:fill="FFFFFF"/>
        </w:rPr>
        <w:fldChar w:fldCharType="begin"/>
      </w:r>
      <w:r w:rsidR="009B5055">
        <w:rPr>
          <w:color w:val="000000"/>
          <w:shd w:val="clear" w:color="auto" w:fill="FFFFFF"/>
        </w:rPr>
        <w:instrText xml:space="preserve"> ADDIN ZOTERO_ITEM CSL_CITATION {"citationID":"WV44ga1G","properties":{"formattedCitation":"\\super 7\\nosupersub{}","plainCitation":"7","noteIndex":0},"citationItems":[{"id":361,"uris":["http://zotero.org/users/local/CYmw5IYM/items/HQDTABU2"],"uri":["http://zotero.org/users/local/CYmw5IYM/items/HQDTABU2"],"itemData":{"id":361,"type":"article-journal","container-title":"OMICS: A Journal of Integrative Biology","DOI":"10.1089/omi.2011.0118","ISSN":"1536-2310, 1557-8100","issue":"5","journalAbbreviation":"OMICS: A Journal of Integrative Biology","language":"en","page":"284-287","source":"DOI.org (Crossref)","title":"clusterProfiler: an R Package for Comparing Biological Themes Among Gene Clusters","title-short":"clusterProfiler","volume":"16","author":[{"family":"Yu","given":"Guangchuang"},{"family":"Wang","given":"Li-Gen"},{"family":"Han","given":"Yanyan"},{"family":"He","given":"Qing-Yu"}],"issued":{"date-parts":[["2012",5]]}}}],"schema":"https://github.com/citation-style-language/schema/raw/master/csl-citation.json"} </w:instrText>
      </w:r>
      <w:r>
        <w:rPr>
          <w:color w:val="000000"/>
          <w:shd w:val="clear" w:color="auto" w:fill="FFFFFF"/>
        </w:rPr>
        <w:fldChar w:fldCharType="separate"/>
      </w:r>
      <w:r w:rsidR="009B5055" w:rsidRPr="009B5055">
        <w:rPr>
          <w:color w:val="000000"/>
          <w:vertAlign w:val="superscript"/>
        </w:rPr>
        <w:t>7</w:t>
      </w:r>
      <w:r>
        <w:rPr>
          <w:color w:val="000000"/>
          <w:shd w:val="clear" w:color="auto" w:fill="FFFFFF"/>
        </w:rPr>
        <w:fldChar w:fldCharType="end"/>
      </w:r>
      <w:r>
        <w:rPr>
          <w:color w:val="000000"/>
          <w:shd w:val="clear" w:color="auto" w:fill="FFFFFF"/>
        </w:rPr>
        <w:t xml:space="preserve"> R package v3.10.1</w:t>
      </w:r>
      <w:r w:rsidRPr="001526E3">
        <w:rPr>
          <w:color w:val="000000"/>
          <w:shd w:val="clear" w:color="auto" w:fill="FFFFFF"/>
        </w:rPr>
        <w:t xml:space="preserve">. Gene Ontology (GO) terms enrichment analysis was </w:t>
      </w:r>
      <w:r>
        <w:rPr>
          <w:color w:val="000000"/>
          <w:shd w:val="clear" w:color="auto" w:fill="FFFFFF"/>
        </w:rPr>
        <w:t>visualized using Bubble Chart to Compare Annotations (BACA)</w:t>
      </w:r>
      <w:r w:rsidRPr="001526E3">
        <w:rPr>
          <w:color w:val="000000"/>
          <w:shd w:val="clear" w:color="auto" w:fill="FFFFFF"/>
        </w:rPr>
        <w:t xml:space="preserve"> </w:t>
      </w:r>
      <w:r>
        <w:rPr>
          <w:color w:val="000000"/>
          <w:shd w:val="clear" w:color="auto" w:fill="FFFFFF"/>
        </w:rPr>
        <w:t>using</w:t>
      </w:r>
      <w:r w:rsidRPr="001526E3">
        <w:rPr>
          <w:color w:val="000000"/>
          <w:shd w:val="clear" w:color="auto" w:fill="FFFFFF"/>
        </w:rPr>
        <w:t xml:space="preserve"> the </w:t>
      </w:r>
      <w:r>
        <w:rPr>
          <w:color w:val="000000"/>
          <w:shd w:val="clear" w:color="auto" w:fill="FFFFFF"/>
        </w:rPr>
        <w:t>p-value threshold</w:t>
      </w:r>
      <w:r w:rsidRPr="001526E3">
        <w:rPr>
          <w:color w:val="000000"/>
          <w:shd w:val="clear" w:color="auto" w:fill="FFFFFF"/>
        </w:rPr>
        <w:t xml:space="preserve"> at 0.01. Only GO terms from Biological Pathways level 5 were used for this analysis. GO terms were clustered to get annotation clusters with a similarity of genes greater than 0.85. </w:t>
      </w:r>
      <w:r>
        <w:rPr>
          <w:color w:val="000000"/>
          <w:shd w:val="clear" w:color="auto" w:fill="FFFFFF"/>
        </w:rPr>
        <w:t>PathView R package v.1.22.3 was used to visualize KEGG metabolic pathways.</w:t>
      </w:r>
    </w:p>
    <w:p w14:paraId="3411EA9B" w14:textId="77777777" w:rsidR="005E451A" w:rsidRPr="00981D60" w:rsidRDefault="005E451A" w:rsidP="00140F71">
      <w:pPr>
        <w:rPr>
          <w:rFonts w:eastAsia="Times New Roman"/>
          <w:lang w:val="en-GB" w:eastAsia="fr-FR"/>
        </w:rPr>
      </w:pPr>
    </w:p>
    <w:p w14:paraId="6AF79C84" w14:textId="77777777" w:rsidR="00825E44" w:rsidRPr="00A24761" w:rsidRDefault="00825E44" w:rsidP="00140F71">
      <w:pPr>
        <w:pStyle w:val="Paragraphedeliste"/>
        <w:spacing w:before="120" w:after="120"/>
        <w:ind w:left="0" w:right="-23"/>
        <w:contextualSpacing w:val="0"/>
        <w:rPr>
          <w:b/>
          <w:u w:val="single"/>
        </w:rPr>
      </w:pPr>
      <w:r w:rsidRPr="00A24761">
        <w:rPr>
          <w:b/>
          <w:u w:val="single"/>
        </w:rPr>
        <w:t>Metabolomics Supplemental Method</w:t>
      </w:r>
      <w:r w:rsidR="00970929" w:rsidRPr="00A24761">
        <w:rPr>
          <w:b/>
          <w:u w:val="single"/>
        </w:rPr>
        <w:t xml:space="preserve"> 1</w:t>
      </w:r>
      <w:r w:rsidR="00CA6A4F" w:rsidRPr="00A24761">
        <w:rPr>
          <w:b/>
          <w:u w:val="single"/>
        </w:rPr>
        <w:t xml:space="preserve">: </w:t>
      </w:r>
      <w:r w:rsidRPr="00A24761">
        <w:rPr>
          <w:rFonts w:eastAsiaTheme="minorHAnsi"/>
          <w:b/>
          <w:u w:val="single"/>
          <w:lang w:val="en-GB" w:bidi="en-US"/>
        </w:rPr>
        <w:t>[</w:t>
      </w:r>
      <w:r w:rsidRPr="00A24761">
        <w:rPr>
          <w:rFonts w:eastAsiaTheme="minorHAnsi"/>
          <w:b/>
          <w:u w:val="single"/>
          <w:vertAlign w:val="superscript"/>
          <w:lang w:val="en-GB" w:bidi="en-US"/>
        </w:rPr>
        <w:t>13</w:t>
      </w:r>
      <w:r w:rsidRPr="00A24761">
        <w:rPr>
          <w:rFonts w:eastAsiaTheme="minorHAnsi"/>
          <w:b/>
          <w:u w:val="single"/>
          <w:lang w:val="en-GB" w:bidi="en-US"/>
        </w:rPr>
        <w:t>C]</w:t>
      </w:r>
      <w:r w:rsidRPr="00A24761">
        <w:rPr>
          <w:rFonts w:eastAsiaTheme="minorHAnsi"/>
          <w:b/>
          <w:u w:val="single"/>
          <w:vertAlign w:val="subscript"/>
          <w:lang w:val="en-GB" w:bidi="en-US"/>
        </w:rPr>
        <w:t>6</w:t>
      </w:r>
      <w:r w:rsidRPr="00A24761">
        <w:rPr>
          <w:b/>
          <w:u w:val="single"/>
          <w:lang w:val="en-GB"/>
        </w:rPr>
        <w:t> </w:t>
      </w:r>
      <w:r w:rsidRPr="00A24761">
        <w:rPr>
          <w:rFonts w:eastAsiaTheme="minorHAnsi"/>
          <w:b/>
          <w:u w:val="single"/>
          <w:lang w:val="en-GB" w:bidi="en-US"/>
        </w:rPr>
        <w:t xml:space="preserve">Glucose – </w:t>
      </w:r>
      <w:r w:rsidRPr="00A24761">
        <w:rPr>
          <w:rFonts w:eastAsiaTheme="minorHAnsi"/>
          <w:b/>
          <w:u w:val="single"/>
          <w:vertAlign w:val="superscript"/>
          <w:lang w:val="en-GB" w:bidi="en-US"/>
        </w:rPr>
        <w:t>13</w:t>
      </w:r>
      <w:r w:rsidRPr="00A24761">
        <w:rPr>
          <w:rFonts w:eastAsiaTheme="minorHAnsi"/>
          <w:b/>
          <w:u w:val="single"/>
          <w:lang w:val="en-GB" w:bidi="en-US"/>
        </w:rPr>
        <w:t>C isotopic profiling</w:t>
      </w:r>
    </w:p>
    <w:p w14:paraId="383C66F8" w14:textId="1F07C407" w:rsidR="00B17414" w:rsidRPr="005E26B8" w:rsidRDefault="006044C8" w:rsidP="005E26B8">
      <w:pPr>
        <w:pStyle w:val="Paragraphedeliste"/>
        <w:numPr>
          <w:ilvl w:val="0"/>
          <w:numId w:val="3"/>
        </w:numPr>
        <w:spacing w:before="120" w:after="120"/>
        <w:ind w:right="-23"/>
        <w:rPr>
          <w:b/>
        </w:rPr>
      </w:pPr>
      <w:r w:rsidRPr="005E26B8">
        <w:rPr>
          <w:b/>
        </w:rPr>
        <w:t>Sample preparations</w:t>
      </w:r>
    </w:p>
    <w:p w14:paraId="00470B0B" w14:textId="77777777" w:rsidR="00B17414" w:rsidRPr="00B64350" w:rsidRDefault="00B17414" w:rsidP="00140F71">
      <w:pPr>
        <w:pStyle w:val="Paragraphedeliste"/>
        <w:spacing w:before="120" w:after="120"/>
        <w:ind w:left="0" w:right="-23"/>
        <w:contextualSpacing w:val="0"/>
      </w:pPr>
      <w:r w:rsidRPr="00B64350">
        <w:t>For cells in suspension (fast filtration method), 1 mL of cell culture are dropped on a filter (Sartolon Polyamide 0.2μm) in order to eliminate cultivation medium. The filter is then rinsed with washing solution, quickly remove</w:t>
      </w:r>
      <w:r w:rsidR="000738D4" w:rsidRPr="00B64350">
        <w:t>d</w:t>
      </w:r>
      <w:r w:rsidRPr="00B64350">
        <w:t xml:space="preserve"> from the filtration unit, </w:t>
      </w:r>
      <w:r w:rsidR="000738D4" w:rsidRPr="00B64350">
        <w:t>putted</w:t>
      </w:r>
      <w:r w:rsidRPr="00B64350">
        <w:t xml:space="preserve"> on an aluminum foil and frozen in liquid nitrogen. Every filter is then extract</w:t>
      </w:r>
      <w:r w:rsidR="000738D4" w:rsidRPr="00B64350">
        <w:t>ed</w:t>
      </w:r>
      <w:r w:rsidRPr="00B64350">
        <w:t xml:space="preserve"> into a centrifuge tube containing the 5 mL of cold sampling solution (see table below). The centrifuge tube</w:t>
      </w:r>
      <w:r w:rsidR="000738D4" w:rsidRPr="00B64350">
        <w:t>s</w:t>
      </w:r>
      <w:r w:rsidRPr="00B64350">
        <w:t xml:space="preserve"> are then vortexed and placed 1 hour at -20°C. After one hour, the tubes are centrifuged 5 min at 2000 g and the supernatant is put</w:t>
      </w:r>
      <w:r w:rsidR="000738D4" w:rsidRPr="00B64350">
        <w:t>ted</w:t>
      </w:r>
      <w:r w:rsidRPr="00B64350">
        <w:t xml:space="preserve"> in a new tube for evaporation.</w:t>
      </w:r>
    </w:p>
    <w:tbl>
      <w:tblPr>
        <w:tblStyle w:val="Grilledutableau"/>
        <w:tblW w:w="0" w:type="auto"/>
        <w:tblLook w:val="04A0" w:firstRow="1" w:lastRow="0" w:firstColumn="1" w:lastColumn="0" w:noHBand="0" w:noVBand="1"/>
      </w:tblPr>
      <w:tblGrid>
        <w:gridCol w:w="1482"/>
        <w:gridCol w:w="1616"/>
        <w:gridCol w:w="1499"/>
        <w:gridCol w:w="1470"/>
        <w:gridCol w:w="1493"/>
        <w:gridCol w:w="1496"/>
      </w:tblGrid>
      <w:tr w:rsidR="004B0452" w14:paraId="0BCCC8F0" w14:textId="77777777" w:rsidTr="005060F0">
        <w:tc>
          <w:tcPr>
            <w:tcW w:w="1533" w:type="dxa"/>
            <w:vAlign w:val="center"/>
          </w:tcPr>
          <w:p w14:paraId="407F5B65" w14:textId="77777777" w:rsidR="004B0452" w:rsidRPr="00AC792F" w:rsidRDefault="004B0452" w:rsidP="00140F71">
            <w:pPr>
              <w:pStyle w:val="Paragraphedeliste"/>
              <w:spacing w:line="276" w:lineRule="auto"/>
              <w:ind w:left="0" w:right="-23"/>
              <w:contextualSpacing w:val="0"/>
              <w:jc w:val="center"/>
              <w:rPr>
                <w:b/>
                <w:sz w:val="18"/>
                <w:szCs w:val="18"/>
              </w:rPr>
            </w:pPr>
            <w:r w:rsidRPr="00AC792F">
              <w:rPr>
                <w:b/>
                <w:sz w:val="18"/>
                <w:szCs w:val="18"/>
              </w:rPr>
              <w:lastRenderedPageBreak/>
              <w:t>Types of metabolites</w:t>
            </w:r>
          </w:p>
        </w:tc>
        <w:tc>
          <w:tcPr>
            <w:tcW w:w="1616" w:type="dxa"/>
            <w:vAlign w:val="center"/>
          </w:tcPr>
          <w:p w14:paraId="70E20695" w14:textId="77777777" w:rsidR="004B0452" w:rsidRPr="00AC792F" w:rsidRDefault="004B0452" w:rsidP="00140F71">
            <w:pPr>
              <w:pStyle w:val="Paragraphedeliste"/>
              <w:spacing w:line="276" w:lineRule="auto"/>
              <w:ind w:left="0" w:right="-23"/>
              <w:contextualSpacing w:val="0"/>
              <w:jc w:val="center"/>
              <w:rPr>
                <w:b/>
                <w:sz w:val="18"/>
                <w:szCs w:val="18"/>
              </w:rPr>
            </w:pPr>
            <w:r w:rsidRPr="00AC792F">
              <w:rPr>
                <w:b/>
                <w:sz w:val="18"/>
                <w:szCs w:val="18"/>
              </w:rPr>
              <w:t>Sampling solution composition</w:t>
            </w:r>
          </w:p>
        </w:tc>
        <w:tc>
          <w:tcPr>
            <w:tcW w:w="1533" w:type="dxa"/>
            <w:vAlign w:val="center"/>
          </w:tcPr>
          <w:p w14:paraId="2A238900" w14:textId="77777777" w:rsidR="004B0452" w:rsidRPr="00AC792F" w:rsidRDefault="004B0452" w:rsidP="00140F71">
            <w:pPr>
              <w:pStyle w:val="Paragraphedeliste"/>
              <w:spacing w:line="276" w:lineRule="auto"/>
              <w:ind w:left="0" w:right="-23"/>
              <w:contextualSpacing w:val="0"/>
              <w:jc w:val="center"/>
              <w:rPr>
                <w:b/>
                <w:sz w:val="18"/>
                <w:szCs w:val="18"/>
              </w:rPr>
            </w:pPr>
            <w:r w:rsidRPr="00AC792F">
              <w:rPr>
                <w:b/>
                <w:sz w:val="18"/>
                <w:szCs w:val="18"/>
              </w:rPr>
              <w:t>Temperature of extraction</w:t>
            </w:r>
          </w:p>
        </w:tc>
        <w:tc>
          <w:tcPr>
            <w:tcW w:w="1532" w:type="dxa"/>
            <w:vAlign w:val="center"/>
          </w:tcPr>
          <w:p w14:paraId="304B9D0B" w14:textId="77777777" w:rsidR="004B0452" w:rsidRPr="00AC792F" w:rsidRDefault="004B0452" w:rsidP="00140F71">
            <w:pPr>
              <w:pStyle w:val="Paragraphedeliste"/>
              <w:spacing w:line="276" w:lineRule="auto"/>
              <w:ind w:left="0" w:right="-23"/>
              <w:contextualSpacing w:val="0"/>
              <w:jc w:val="center"/>
              <w:rPr>
                <w:b/>
                <w:sz w:val="18"/>
                <w:szCs w:val="18"/>
              </w:rPr>
            </w:pPr>
            <w:r w:rsidRPr="00AC792F">
              <w:rPr>
                <w:b/>
                <w:sz w:val="18"/>
                <w:szCs w:val="18"/>
              </w:rPr>
              <w:t>Duration of extraction</w:t>
            </w:r>
          </w:p>
        </w:tc>
        <w:tc>
          <w:tcPr>
            <w:tcW w:w="1534" w:type="dxa"/>
            <w:vAlign w:val="center"/>
          </w:tcPr>
          <w:p w14:paraId="5FD472E1" w14:textId="77777777" w:rsidR="004B0452" w:rsidRPr="00AC792F" w:rsidRDefault="004B0452" w:rsidP="00140F71">
            <w:pPr>
              <w:pStyle w:val="Paragraphedeliste"/>
              <w:spacing w:line="276" w:lineRule="auto"/>
              <w:ind w:left="0" w:right="-23"/>
              <w:contextualSpacing w:val="0"/>
              <w:jc w:val="center"/>
              <w:rPr>
                <w:b/>
                <w:sz w:val="18"/>
                <w:szCs w:val="18"/>
              </w:rPr>
            </w:pPr>
            <w:r w:rsidRPr="00AC792F">
              <w:rPr>
                <w:b/>
                <w:sz w:val="18"/>
                <w:szCs w:val="18"/>
              </w:rPr>
              <w:t>Evaporation</w:t>
            </w:r>
          </w:p>
        </w:tc>
        <w:tc>
          <w:tcPr>
            <w:tcW w:w="1534" w:type="dxa"/>
            <w:vAlign w:val="center"/>
          </w:tcPr>
          <w:p w14:paraId="7448114E" w14:textId="77777777" w:rsidR="004B0452" w:rsidRPr="00AC792F" w:rsidRDefault="004B0452" w:rsidP="00140F71">
            <w:pPr>
              <w:pStyle w:val="Paragraphedeliste"/>
              <w:spacing w:line="276" w:lineRule="auto"/>
              <w:ind w:left="0" w:right="-23"/>
              <w:contextualSpacing w:val="0"/>
              <w:jc w:val="center"/>
              <w:rPr>
                <w:b/>
                <w:sz w:val="18"/>
                <w:szCs w:val="18"/>
              </w:rPr>
            </w:pPr>
            <w:r w:rsidRPr="00AC792F">
              <w:rPr>
                <w:b/>
                <w:sz w:val="18"/>
                <w:szCs w:val="18"/>
              </w:rPr>
              <w:t>Solution of resuspension</w:t>
            </w:r>
          </w:p>
        </w:tc>
      </w:tr>
      <w:tr w:rsidR="004B0452" w14:paraId="47480DBE" w14:textId="77777777" w:rsidTr="005060F0">
        <w:tc>
          <w:tcPr>
            <w:tcW w:w="1533" w:type="dxa"/>
            <w:vAlign w:val="center"/>
          </w:tcPr>
          <w:p w14:paraId="4A454C5E" w14:textId="77777777" w:rsidR="004B0452" w:rsidRPr="004B0452" w:rsidRDefault="004B0452" w:rsidP="00140F71">
            <w:pPr>
              <w:pStyle w:val="Paragraphedeliste"/>
              <w:spacing w:line="276" w:lineRule="auto"/>
              <w:ind w:left="0" w:right="-23"/>
              <w:contextualSpacing w:val="0"/>
              <w:jc w:val="center"/>
              <w:rPr>
                <w:sz w:val="18"/>
                <w:szCs w:val="18"/>
              </w:rPr>
            </w:pPr>
            <w:r>
              <w:rPr>
                <w:sz w:val="18"/>
                <w:szCs w:val="18"/>
              </w:rPr>
              <w:t>Central metabolites</w:t>
            </w:r>
          </w:p>
        </w:tc>
        <w:tc>
          <w:tcPr>
            <w:tcW w:w="1616" w:type="dxa"/>
            <w:vAlign w:val="center"/>
          </w:tcPr>
          <w:p w14:paraId="5F8FA04B" w14:textId="77777777" w:rsidR="004B0452" w:rsidRPr="004B0452" w:rsidRDefault="004B0452" w:rsidP="00140F71">
            <w:pPr>
              <w:pStyle w:val="Default"/>
              <w:spacing w:line="276" w:lineRule="auto"/>
              <w:jc w:val="center"/>
              <w:rPr>
                <w:rFonts w:ascii="Times New Roman" w:hAnsi="Times New Roman" w:cs="Times New Roman"/>
                <w:sz w:val="18"/>
                <w:szCs w:val="18"/>
                <w:lang w:val="en-GB"/>
              </w:rPr>
            </w:pPr>
            <w:r w:rsidRPr="004B0452">
              <w:rPr>
                <w:rFonts w:ascii="Times New Roman" w:hAnsi="Times New Roman" w:cs="Times New Roman"/>
                <w:sz w:val="18"/>
                <w:szCs w:val="18"/>
                <w:lang w:val="en-GB"/>
              </w:rPr>
              <w:t xml:space="preserve">ACN(4)/MeOH(4)/ H2Omq (2) 125 mM formic acid </w:t>
            </w:r>
          </w:p>
        </w:tc>
        <w:tc>
          <w:tcPr>
            <w:tcW w:w="1533" w:type="dxa"/>
            <w:vAlign w:val="center"/>
          </w:tcPr>
          <w:p w14:paraId="24053789" w14:textId="77777777" w:rsidR="004B0452" w:rsidRPr="004B0452" w:rsidRDefault="004B0452" w:rsidP="00140F71">
            <w:pPr>
              <w:spacing w:line="276" w:lineRule="auto"/>
              <w:ind w:right="-23"/>
              <w:jc w:val="center"/>
              <w:rPr>
                <w:sz w:val="18"/>
                <w:szCs w:val="18"/>
              </w:rPr>
            </w:pPr>
            <w:r w:rsidRPr="004B0452">
              <w:rPr>
                <w:sz w:val="18"/>
                <w:szCs w:val="18"/>
              </w:rPr>
              <w:t>-20°C</w:t>
            </w:r>
          </w:p>
        </w:tc>
        <w:tc>
          <w:tcPr>
            <w:tcW w:w="1532" w:type="dxa"/>
            <w:vAlign w:val="center"/>
          </w:tcPr>
          <w:p w14:paraId="773057E3" w14:textId="77777777" w:rsidR="004B0452" w:rsidRPr="004B0452" w:rsidRDefault="005060F0" w:rsidP="00140F71">
            <w:pPr>
              <w:pStyle w:val="Paragraphedeliste"/>
              <w:spacing w:line="276" w:lineRule="auto"/>
              <w:ind w:left="0" w:right="-23"/>
              <w:contextualSpacing w:val="0"/>
              <w:jc w:val="center"/>
              <w:rPr>
                <w:sz w:val="18"/>
                <w:szCs w:val="18"/>
              </w:rPr>
            </w:pPr>
            <w:r>
              <w:rPr>
                <w:sz w:val="18"/>
                <w:szCs w:val="18"/>
              </w:rPr>
              <w:t>1 h minimum</w:t>
            </w:r>
          </w:p>
        </w:tc>
        <w:tc>
          <w:tcPr>
            <w:tcW w:w="1534" w:type="dxa"/>
            <w:vAlign w:val="center"/>
          </w:tcPr>
          <w:p w14:paraId="14A8867F" w14:textId="77777777" w:rsidR="004B0452" w:rsidRPr="004B0452" w:rsidRDefault="005060F0" w:rsidP="00140F71">
            <w:pPr>
              <w:pStyle w:val="Paragraphedeliste"/>
              <w:spacing w:line="276" w:lineRule="auto"/>
              <w:ind w:left="0" w:right="-23"/>
              <w:contextualSpacing w:val="0"/>
              <w:jc w:val="center"/>
              <w:rPr>
                <w:sz w:val="18"/>
                <w:szCs w:val="18"/>
              </w:rPr>
            </w:pPr>
            <w:r>
              <w:rPr>
                <w:sz w:val="18"/>
                <w:szCs w:val="18"/>
              </w:rPr>
              <w:t>Speedvac</w:t>
            </w:r>
          </w:p>
        </w:tc>
        <w:tc>
          <w:tcPr>
            <w:tcW w:w="1534" w:type="dxa"/>
            <w:vAlign w:val="center"/>
          </w:tcPr>
          <w:p w14:paraId="203C6053" w14:textId="77777777" w:rsidR="004B0452" w:rsidRPr="004B0452" w:rsidRDefault="005060F0" w:rsidP="00140F71">
            <w:pPr>
              <w:pStyle w:val="Paragraphedeliste"/>
              <w:spacing w:line="276" w:lineRule="auto"/>
              <w:ind w:left="0" w:right="-23"/>
              <w:contextualSpacing w:val="0"/>
              <w:jc w:val="center"/>
              <w:rPr>
                <w:sz w:val="18"/>
                <w:szCs w:val="18"/>
              </w:rPr>
            </w:pPr>
            <w:r>
              <w:rPr>
                <w:sz w:val="18"/>
                <w:szCs w:val="18"/>
              </w:rPr>
              <w:t>Water</w:t>
            </w:r>
          </w:p>
        </w:tc>
      </w:tr>
      <w:tr w:rsidR="005060F0" w14:paraId="1E07A970" w14:textId="77777777" w:rsidTr="005060F0">
        <w:tc>
          <w:tcPr>
            <w:tcW w:w="1533" w:type="dxa"/>
            <w:vAlign w:val="center"/>
          </w:tcPr>
          <w:p w14:paraId="324417B4" w14:textId="77777777" w:rsidR="005060F0" w:rsidRPr="004B0452" w:rsidRDefault="005060F0" w:rsidP="00140F71">
            <w:pPr>
              <w:pStyle w:val="Paragraphedeliste"/>
              <w:spacing w:line="276" w:lineRule="auto"/>
              <w:ind w:left="0" w:right="-23"/>
              <w:contextualSpacing w:val="0"/>
              <w:jc w:val="center"/>
              <w:rPr>
                <w:sz w:val="18"/>
                <w:szCs w:val="18"/>
              </w:rPr>
            </w:pPr>
            <w:r>
              <w:rPr>
                <w:sz w:val="18"/>
                <w:szCs w:val="18"/>
              </w:rPr>
              <w:t>Intracellular amico acids</w:t>
            </w:r>
          </w:p>
        </w:tc>
        <w:tc>
          <w:tcPr>
            <w:tcW w:w="1616" w:type="dxa"/>
            <w:vAlign w:val="center"/>
          </w:tcPr>
          <w:p w14:paraId="794E1A85" w14:textId="77777777" w:rsidR="005060F0" w:rsidRPr="004B0452" w:rsidRDefault="005060F0" w:rsidP="00140F71">
            <w:pPr>
              <w:pStyle w:val="Default"/>
              <w:spacing w:line="276" w:lineRule="auto"/>
              <w:jc w:val="center"/>
              <w:rPr>
                <w:rFonts w:ascii="Times New Roman" w:hAnsi="Times New Roman" w:cs="Times New Roman"/>
                <w:sz w:val="18"/>
                <w:szCs w:val="18"/>
                <w:lang w:val="en-GB"/>
              </w:rPr>
            </w:pPr>
            <w:r w:rsidRPr="004B0452">
              <w:rPr>
                <w:rFonts w:ascii="Times New Roman" w:hAnsi="Times New Roman" w:cs="Times New Roman"/>
                <w:sz w:val="18"/>
                <w:szCs w:val="18"/>
                <w:lang w:val="en-GB"/>
              </w:rPr>
              <w:t xml:space="preserve">ACN(4)/MeOH(4)/ H2Omq (2) 125 mM formic acid </w:t>
            </w:r>
          </w:p>
        </w:tc>
        <w:tc>
          <w:tcPr>
            <w:tcW w:w="1533" w:type="dxa"/>
            <w:vAlign w:val="center"/>
          </w:tcPr>
          <w:p w14:paraId="445C611E" w14:textId="77777777" w:rsidR="005060F0" w:rsidRPr="004B0452" w:rsidRDefault="005060F0" w:rsidP="00140F71">
            <w:pPr>
              <w:pStyle w:val="Paragraphedeliste"/>
              <w:spacing w:line="276" w:lineRule="auto"/>
              <w:ind w:left="0" w:right="-23"/>
              <w:contextualSpacing w:val="0"/>
              <w:jc w:val="center"/>
              <w:rPr>
                <w:sz w:val="18"/>
                <w:szCs w:val="18"/>
              </w:rPr>
            </w:pPr>
            <w:r w:rsidRPr="004B0452">
              <w:rPr>
                <w:sz w:val="18"/>
                <w:szCs w:val="18"/>
              </w:rPr>
              <w:t>-20°C</w:t>
            </w:r>
          </w:p>
        </w:tc>
        <w:tc>
          <w:tcPr>
            <w:tcW w:w="1532" w:type="dxa"/>
            <w:vAlign w:val="center"/>
          </w:tcPr>
          <w:p w14:paraId="27069F08" w14:textId="77777777" w:rsidR="005060F0" w:rsidRPr="004B0452" w:rsidRDefault="005060F0" w:rsidP="00140F71">
            <w:pPr>
              <w:pStyle w:val="Paragraphedeliste"/>
              <w:spacing w:line="276" w:lineRule="auto"/>
              <w:ind w:left="0" w:right="-23"/>
              <w:contextualSpacing w:val="0"/>
              <w:jc w:val="center"/>
              <w:rPr>
                <w:sz w:val="18"/>
                <w:szCs w:val="18"/>
              </w:rPr>
            </w:pPr>
            <w:r>
              <w:rPr>
                <w:sz w:val="18"/>
                <w:szCs w:val="18"/>
              </w:rPr>
              <w:t>1 h minimum</w:t>
            </w:r>
          </w:p>
        </w:tc>
        <w:tc>
          <w:tcPr>
            <w:tcW w:w="1534" w:type="dxa"/>
            <w:vAlign w:val="center"/>
          </w:tcPr>
          <w:p w14:paraId="440FB54C" w14:textId="77777777" w:rsidR="005060F0" w:rsidRPr="004B0452" w:rsidRDefault="005060F0" w:rsidP="00140F71">
            <w:pPr>
              <w:pStyle w:val="Paragraphedeliste"/>
              <w:spacing w:line="276" w:lineRule="auto"/>
              <w:ind w:left="0" w:right="-23"/>
              <w:contextualSpacing w:val="0"/>
              <w:jc w:val="center"/>
              <w:rPr>
                <w:sz w:val="18"/>
                <w:szCs w:val="18"/>
              </w:rPr>
            </w:pPr>
            <w:r>
              <w:rPr>
                <w:sz w:val="18"/>
                <w:szCs w:val="18"/>
              </w:rPr>
              <w:t>Speedvac</w:t>
            </w:r>
          </w:p>
        </w:tc>
        <w:tc>
          <w:tcPr>
            <w:tcW w:w="1534" w:type="dxa"/>
            <w:vAlign w:val="center"/>
          </w:tcPr>
          <w:p w14:paraId="29AAF1B6" w14:textId="77777777" w:rsidR="005060F0" w:rsidRPr="004B0452" w:rsidRDefault="005060F0" w:rsidP="00140F71">
            <w:pPr>
              <w:pStyle w:val="Paragraphedeliste"/>
              <w:spacing w:line="276" w:lineRule="auto"/>
              <w:ind w:left="0" w:right="-23"/>
              <w:contextualSpacing w:val="0"/>
              <w:jc w:val="center"/>
              <w:rPr>
                <w:sz w:val="18"/>
                <w:szCs w:val="18"/>
              </w:rPr>
            </w:pPr>
            <w:r>
              <w:rPr>
                <w:sz w:val="18"/>
                <w:szCs w:val="18"/>
              </w:rPr>
              <w:t>Water</w:t>
            </w:r>
          </w:p>
        </w:tc>
      </w:tr>
      <w:tr w:rsidR="005060F0" w14:paraId="1E90391F" w14:textId="77777777" w:rsidTr="005060F0">
        <w:tc>
          <w:tcPr>
            <w:tcW w:w="1533" w:type="dxa"/>
            <w:vAlign w:val="center"/>
          </w:tcPr>
          <w:p w14:paraId="26FBEAC2" w14:textId="77777777" w:rsidR="005060F0" w:rsidRPr="004B0452" w:rsidRDefault="005060F0" w:rsidP="00140F71">
            <w:pPr>
              <w:pStyle w:val="Paragraphedeliste"/>
              <w:spacing w:line="276" w:lineRule="auto"/>
              <w:ind w:left="0" w:right="-23"/>
              <w:contextualSpacing w:val="0"/>
              <w:jc w:val="center"/>
              <w:rPr>
                <w:sz w:val="18"/>
                <w:szCs w:val="18"/>
              </w:rPr>
            </w:pPr>
            <w:r>
              <w:rPr>
                <w:sz w:val="18"/>
                <w:szCs w:val="18"/>
              </w:rPr>
              <w:t>Coenzyme A</w:t>
            </w:r>
          </w:p>
        </w:tc>
        <w:tc>
          <w:tcPr>
            <w:tcW w:w="1616" w:type="dxa"/>
            <w:vAlign w:val="center"/>
          </w:tcPr>
          <w:p w14:paraId="2969C961" w14:textId="77777777" w:rsidR="005060F0" w:rsidRPr="004B0452" w:rsidRDefault="005060F0" w:rsidP="00140F71">
            <w:pPr>
              <w:pStyle w:val="Default"/>
              <w:spacing w:line="276" w:lineRule="auto"/>
              <w:jc w:val="center"/>
              <w:rPr>
                <w:rFonts w:ascii="Times New Roman" w:hAnsi="Times New Roman" w:cs="Times New Roman"/>
                <w:sz w:val="18"/>
                <w:szCs w:val="18"/>
                <w:lang w:val="en-GB"/>
              </w:rPr>
            </w:pPr>
            <w:r w:rsidRPr="004B0452">
              <w:rPr>
                <w:rFonts w:ascii="Times New Roman" w:hAnsi="Times New Roman" w:cs="Times New Roman"/>
                <w:sz w:val="18"/>
                <w:szCs w:val="18"/>
                <w:lang w:val="en-GB"/>
              </w:rPr>
              <w:t xml:space="preserve">ACN(4)/MeOH(4)/ H2Omq (2) 125 mM formic acid </w:t>
            </w:r>
          </w:p>
        </w:tc>
        <w:tc>
          <w:tcPr>
            <w:tcW w:w="1533" w:type="dxa"/>
            <w:vAlign w:val="center"/>
          </w:tcPr>
          <w:p w14:paraId="5A5F4ADB" w14:textId="77777777" w:rsidR="005060F0" w:rsidRPr="004B0452" w:rsidRDefault="005060F0" w:rsidP="00140F71">
            <w:pPr>
              <w:pStyle w:val="Paragraphedeliste"/>
              <w:spacing w:line="276" w:lineRule="auto"/>
              <w:ind w:left="0" w:right="-23"/>
              <w:contextualSpacing w:val="0"/>
              <w:jc w:val="center"/>
              <w:rPr>
                <w:sz w:val="18"/>
                <w:szCs w:val="18"/>
              </w:rPr>
            </w:pPr>
            <w:r w:rsidRPr="004B0452">
              <w:rPr>
                <w:sz w:val="18"/>
                <w:szCs w:val="18"/>
              </w:rPr>
              <w:t>-20°C</w:t>
            </w:r>
          </w:p>
        </w:tc>
        <w:tc>
          <w:tcPr>
            <w:tcW w:w="1532" w:type="dxa"/>
            <w:vAlign w:val="center"/>
          </w:tcPr>
          <w:p w14:paraId="14C78B61" w14:textId="77777777" w:rsidR="005060F0" w:rsidRPr="004B0452" w:rsidRDefault="005060F0" w:rsidP="00140F71">
            <w:pPr>
              <w:pStyle w:val="Paragraphedeliste"/>
              <w:spacing w:line="276" w:lineRule="auto"/>
              <w:ind w:left="0" w:right="-23"/>
              <w:contextualSpacing w:val="0"/>
              <w:jc w:val="center"/>
              <w:rPr>
                <w:sz w:val="18"/>
                <w:szCs w:val="18"/>
              </w:rPr>
            </w:pPr>
            <w:r>
              <w:rPr>
                <w:sz w:val="18"/>
                <w:szCs w:val="18"/>
              </w:rPr>
              <w:t>1 h minimum</w:t>
            </w:r>
          </w:p>
        </w:tc>
        <w:tc>
          <w:tcPr>
            <w:tcW w:w="1534" w:type="dxa"/>
            <w:vAlign w:val="center"/>
          </w:tcPr>
          <w:p w14:paraId="463AB738" w14:textId="77777777" w:rsidR="005060F0" w:rsidRPr="004B0452" w:rsidRDefault="005060F0" w:rsidP="00140F71">
            <w:pPr>
              <w:pStyle w:val="Paragraphedeliste"/>
              <w:spacing w:line="276" w:lineRule="auto"/>
              <w:ind w:left="0" w:right="-23"/>
              <w:contextualSpacing w:val="0"/>
              <w:jc w:val="center"/>
              <w:rPr>
                <w:sz w:val="18"/>
                <w:szCs w:val="18"/>
              </w:rPr>
            </w:pPr>
            <w:r>
              <w:rPr>
                <w:sz w:val="18"/>
                <w:szCs w:val="18"/>
              </w:rPr>
              <w:t>Speedvac</w:t>
            </w:r>
          </w:p>
        </w:tc>
        <w:tc>
          <w:tcPr>
            <w:tcW w:w="1534" w:type="dxa"/>
            <w:vAlign w:val="center"/>
          </w:tcPr>
          <w:p w14:paraId="5593B4E9" w14:textId="77777777" w:rsidR="005060F0" w:rsidRPr="005060F0" w:rsidRDefault="005060F0" w:rsidP="00140F71">
            <w:pPr>
              <w:pStyle w:val="Default"/>
              <w:spacing w:line="276" w:lineRule="auto"/>
              <w:jc w:val="center"/>
              <w:rPr>
                <w:rFonts w:ascii="Times New Roman" w:hAnsi="Times New Roman" w:cs="Times New Roman"/>
                <w:sz w:val="18"/>
                <w:szCs w:val="18"/>
                <w:lang w:val="en-GB"/>
              </w:rPr>
            </w:pPr>
            <w:r w:rsidRPr="005060F0">
              <w:rPr>
                <w:rFonts w:ascii="Times New Roman" w:hAnsi="Times New Roman" w:cs="Times New Roman"/>
                <w:sz w:val="18"/>
                <w:szCs w:val="18"/>
                <w:lang w:val="en-GB"/>
              </w:rPr>
              <w:t xml:space="preserve">2% methanol, 98% water, 25 mM formic acid, pH adjusted at 3.5 </w:t>
            </w:r>
          </w:p>
        </w:tc>
      </w:tr>
    </w:tbl>
    <w:p w14:paraId="1DEC1203" w14:textId="77777777" w:rsidR="00B64350" w:rsidRDefault="00B64350" w:rsidP="00140F71">
      <w:pPr>
        <w:pStyle w:val="Paragraphedeliste"/>
        <w:ind w:left="0" w:right="-23"/>
        <w:contextualSpacing w:val="0"/>
      </w:pPr>
    </w:p>
    <w:p w14:paraId="047BB5F7" w14:textId="77777777" w:rsidR="006044C8" w:rsidRPr="00B64350" w:rsidRDefault="006044C8" w:rsidP="00140F71">
      <w:pPr>
        <w:pStyle w:val="Paragraphedeliste"/>
        <w:ind w:left="0" w:right="-23"/>
        <w:contextualSpacing w:val="0"/>
      </w:pPr>
      <w:r w:rsidRPr="00B64350">
        <w:t>For cell supernatants, the sampling procedure is based on the separation of the cells from the medium thanks to the combination of filtration and centrifugation. This give access only to the exometabolome content for metabolomics or fluxomics studies. The supernatant can be stored at -80°C before shipment and analysis evaporated. Then samples are prepared either for NMR or MS analysis manually or automatically using a robotic station.</w:t>
      </w:r>
    </w:p>
    <w:p w14:paraId="414A03D9" w14:textId="4A3D9FCA" w:rsidR="00B64350" w:rsidRPr="00B64350" w:rsidRDefault="00F938F5" w:rsidP="00140F71">
      <w:pPr>
        <w:pStyle w:val="Paragraphedeliste"/>
        <w:spacing w:before="120" w:after="120"/>
        <w:ind w:left="0" w:right="-23"/>
        <w:contextualSpacing w:val="0"/>
      </w:pPr>
      <w:r w:rsidRPr="00B64350">
        <w:t>To control the quality of the analysis, blank samples are done for each type of samples (culture medium, conditions, treatment…). These blank samples are obtained from “cell-free” culture made in parallel and sampled in the same way and time as the culture with cells.</w:t>
      </w:r>
    </w:p>
    <w:p w14:paraId="4F828508" w14:textId="01B82407" w:rsidR="00F938F5" w:rsidRPr="00B64350" w:rsidRDefault="00B64350" w:rsidP="005E26B8">
      <w:pPr>
        <w:pStyle w:val="Paragraphedeliste"/>
        <w:numPr>
          <w:ilvl w:val="0"/>
          <w:numId w:val="3"/>
        </w:numPr>
        <w:spacing w:before="120" w:after="120"/>
        <w:ind w:right="-23"/>
        <w:contextualSpacing w:val="0"/>
        <w:rPr>
          <w:b/>
        </w:rPr>
      </w:pPr>
      <w:r w:rsidRPr="00B64350">
        <w:rPr>
          <w:b/>
        </w:rPr>
        <w:t>Nuclear Magnetic Resonance (NMR) profiling</w:t>
      </w:r>
    </w:p>
    <w:p w14:paraId="09D9B883" w14:textId="5E03937A" w:rsidR="003133CC" w:rsidRDefault="00B64350" w:rsidP="00140F71">
      <w:pPr>
        <w:pStyle w:val="Paragraphedeliste"/>
        <w:spacing w:before="120" w:after="120"/>
        <w:ind w:left="0" w:right="-23"/>
        <w:contextualSpacing w:val="0"/>
      </w:pPr>
      <w:r w:rsidRPr="00CD5C61">
        <w:t>The acquisition of 1D 1H NMRAvance II 800MHz equipped with a 5mm CQPCI Z-Gradient cryoprobe. Following parameters were used for the acquisition:</w:t>
      </w:r>
      <w:r w:rsidR="000E5D2A" w:rsidRPr="00CD5C61">
        <w:t xml:space="preserve"> Pulse program: zgpr30; Pulse angle 30°; Time Domaine (TD) 64k; Number of dummy scan: 4; Number of scan: 32; Acquisition time: 2.04 sec; Pulse P1 length: 7.70 µsec; Pulse P1 power: -12.39 dB; Pulse P9 power: 43.79 dB; Acquisition temperature: 280°K.</w:t>
      </w:r>
      <w:r w:rsidR="00CD5C61" w:rsidRPr="00CD5C61">
        <w:t xml:space="preserve"> Raw data obtained after acquisition are FID. A Fourier transform were applied for each spectrum with a specific smoothing (efp with LB = 0.3 and SI = 128K). Phase and baseline correction were also performed using automatic tools form TopSpin 3.5 software before the automatic integration of specific signals belonging to exo-metabolites present in the samples. Absolute quanti</w:t>
      </w:r>
      <w:r w:rsidR="00CD5C61">
        <w:t>fic</w:t>
      </w:r>
      <w:r w:rsidR="00CD5C61" w:rsidRPr="00CD5C61">
        <w:t>at</w:t>
      </w:r>
      <w:r w:rsidR="00CD5C61" w:rsidRPr="005D1955">
        <w:t>ion of metabolites of interest was performed using the internal standard TSP-d4 as reference.</w:t>
      </w:r>
      <w:r w:rsidR="005D1955" w:rsidRPr="005D1955">
        <w:t xml:space="preserve"> The quality of the analysis is based on the good resolution of the spectrum: width at half h</w:t>
      </w:r>
      <w:r w:rsidR="0019292F">
        <w:t>eight for TSP-d4 signal &lt; 2.5Hz.</w:t>
      </w:r>
    </w:p>
    <w:p w14:paraId="00882188" w14:textId="09FA2FAC" w:rsidR="003133CC" w:rsidRPr="003133CC" w:rsidRDefault="0018251B" w:rsidP="005E26B8">
      <w:pPr>
        <w:pStyle w:val="Paragraphedeliste"/>
        <w:numPr>
          <w:ilvl w:val="0"/>
          <w:numId w:val="3"/>
        </w:numPr>
        <w:spacing w:before="120" w:after="120"/>
        <w:ind w:right="-23"/>
        <w:contextualSpacing w:val="0"/>
        <w:rPr>
          <w:b/>
        </w:rPr>
      </w:pPr>
      <w:r>
        <w:rPr>
          <w:b/>
        </w:rPr>
        <w:lastRenderedPageBreak/>
        <w:t xml:space="preserve">Liquid chromatography / </w:t>
      </w:r>
      <w:r w:rsidR="003133CC" w:rsidRPr="003133CC">
        <w:rPr>
          <w:b/>
        </w:rPr>
        <w:t>Mass Spectrometry analysis</w:t>
      </w:r>
    </w:p>
    <w:p w14:paraId="017B0AC5" w14:textId="77777777" w:rsidR="00B13194" w:rsidRDefault="00DE52EE" w:rsidP="00140F71">
      <w:pPr>
        <w:pStyle w:val="Paragraphedeliste"/>
        <w:spacing w:before="120" w:after="120"/>
        <w:ind w:left="0" w:right="-23"/>
        <w:contextualSpacing w:val="0"/>
        <w:rPr>
          <w:rFonts w:eastAsiaTheme="minorHAnsi"/>
          <w:lang w:val="en-GB"/>
        </w:rPr>
      </w:pPr>
      <w:r w:rsidRPr="00DE52EE">
        <w:rPr>
          <w:rFonts w:eastAsiaTheme="minorHAnsi"/>
          <w:lang w:val="en-GB"/>
        </w:rPr>
        <w:t xml:space="preserve">Central metabolites were separated on an ionic chromatography column IonPac AS11 (250 × 2 mm i.d.; Dionex, CA, USA). Solvent used was KOH at a flow rate of 350 </w:t>
      </w:r>
      <w:r w:rsidRPr="00DE52EE">
        <w:rPr>
          <w:rFonts w:eastAsiaTheme="minorHAnsi"/>
          <w:lang w:val="fr-FR"/>
        </w:rPr>
        <w:t>μ</w:t>
      </w:r>
      <w:r w:rsidRPr="00DE52EE">
        <w:rPr>
          <w:rFonts w:eastAsiaTheme="minorHAnsi"/>
          <w:lang w:val="en-GB"/>
        </w:rPr>
        <w:t>L/min. Solvent was varied as follows: 0 min: 2 %, 2 min: 2 %, 10 min: 5 %, 16 min: 35 %, 20 min: 100 % and 24 min: 100%.</w:t>
      </w:r>
      <w:r w:rsidRPr="00B13194">
        <w:rPr>
          <w:rFonts w:eastAsiaTheme="minorHAnsi"/>
          <w:lang w:val="en-GB"/>
        </w:rPr>
        <w:t xml:space="preserve"> The column was then equilibrated for 6 min at the initial conditions before the next sample was analyzed. The volume of injection was 15 </w:t>
      </w:r>
      <w:r w:rsidRPr="00B13194">
        <w:rPr>
          <w:rFonts w:eastAsiaTheme="minorHAnsi"/>
          <w:lang w:val="fr-FR"/>
        </w:rPr>
        <w:t>μ</w:t>
      </w:r>
      <w:r w:rsidRPr="00B13194">
        <w:rPr>
          <w:rFonts w:eastAsiaTheme="minorHAnsi"/>
          <w:lang w:val="en-GB"/>
        </w:rPr>
        <w:t>L. High-resolution experiments were performed with an ICS5000+, ion chromatography system (Dionex, CA, USA) coupled to an LTQ Orbitrap Velos mass spectrometer (Thermo Fisher Scientific, Waltham, MA, USA) equipped with a heated electrospray ionization probe. MS analyses were performed in negative FTMS mode at a resolution of 60 000 (at 400 m/z) in full-scan mode, with the following source parameters: the capillary temperature was 350 °C, the source heater temperature, 300 °C, the sheath gas flow rate, 50 a.u. (arbitrary unit), the auxiliary gas flow rate, 5 a.u., the S-Lens RF level, 60 %, and the source voltage, 3.5 kV.</w:t>
      </w:r>
    </w:p>
    <w:p w14:paraId="6858C90F" w14:textId="30679BDE" w:rsidR="00DE52EE" w:rsidRDefault="00DE52EE" w:rsidP="00140F71">
      <w:pPr>
        <w:pStyle w:val="Paragraphedeliste"/>
        <w:spacing w:before="120" w:after="120"/>
        <w:ind w:left="0" w:right="-23"/>
        <w:contextualSpacing w:val="0"/>
      </w:pPr>
      <w:r w:rsidRPr="00DE52EE">
        <w:t>Amino acids were separated on a PFP column (150 × 2.1 mm i.d., particle size 5 µm; Supelco Bellefonte, PEN, USA). Solvent A was 0.1 % formic acid in H20 and solvent B was 0.1 % formic acid in acetonitrile at a flow rate of 250 µL/min. Solvent B was varied as follows: 0 min: 2 %, 2 min: 2 %, 10 min: 5 %, 16 min: 35 %, 20 min: 100 % and 24 min: 100%. The column was then equilibrated for 6 min at the initial conditions before the next sample was analyzed. The volu</w:t>
      </w:r>
      <w:r w:rsidRPr="00C05334">
        <w:t>me of injection was 5 µL. High-resolution experiments were performed with a Vanquish HPLC system coupled to an Orbitrap Qexactive+ mass spectrometer (Thermo Fisher Scientific, Waltham, MA, USA) equipped with a heated electrospray ionization probe. MS analyses were performed in positive FTMS mode at a resolution of 70 000 (at 400 m/z) in full-scan mode, with the following source parameters: the capillary temperature was 320 °C, the source heater temperature, 300 °C, the sheath gas flow rate, 40 a.u. (arbitrary unit), the auxiliary gas flow rate, 10 a.u., the S-Lens RF level, 40 %, and the source voltage, 5 kV.</w:t>
      </w:r>
    </w:p>
    <w:p w14:paraId="213A86F0" w14:textId="207AB85E" w:rsidR="006C7DC0" w:rsidRPr="00A24761" w:rsidRDefault="00DE52EE" w:rsidP="00140F71">
      <w:pPr>
        <w:pStyle w:val="Paragraphedeliste"/>
        <w:spacing w:before="120" w:after="120"/>
        <w:ind w:left="0" w:right="-23"/>
        <w:contextualSpacing w:val="0"/>
      </w:pPr>
      <w:r>
        <w:rPr>
          <w:rFonts w:eastAsiaTheme="minorHAnsi"/>
          <w:lang w:val="en-GB"/>
        </w:rPr>
        <w:t>All the m</w:t>
      </w:r>
      <w:r w:rsidR="00C53F22" w:rsidRPr="00C53F22">
        <w:rPr>
          <w:rFonts w:eastAsiaTheme="minorHAnsi"/>
          <w:lang w:val="en-GB"/>
        </w:rPr>
        <w:t xml:space="preserve">etabolites were determined by extracting the exact mass with a tolerance of 5 ppm. </w:t>
      </w:r>
      <w:r w:rsidR="00C53F22" w:rsidRPr="00C53F22">
        <w:t xml:space="preserve">For central metabolites isotopic profile analysis and </w:t>
      </w:r>
      <w:r>
        <w:t>a</w:t>
      </w:r>
      <w:r w:rsidR="00C53F22" w:rsidRPr="00C53F22">
        <w:t xml:space="preserve">mino acids isotopic profile analysis, their concentrations have to be included in the dynamic range of the method, respectively. This range was determined during the </w:t>
      </w:r>
      <w:r w:rsidR="00C53F22" w:rsidRPr="00C53F22">
        <w:lastRenderedPageBreak/>
        <w:t>method validation with the PA-PT sample and corresponds to the total area of the cluster / number of isotopologues with a bias of less than 5 %.</w:t>
      </w:r>
    </w:p>
    <w:p w14:paraId="5D576001" w14:textId="28B41AF4" w:rsidR="00825E44" w:rsidRPr="00B64350" w:rsidRDefault="00C84334" w:rsidP="00A24761">
      <w:pPr>
        <w:pStyle w:val="Paragraphedeliste"/>
        <w:numPr>
          <w:ilvl w:val="0"/>
          <w:numId w:val="3"/>
        </w:numPr>
        <w:spacing w:before="120" w:after="120"/>
        <w:ind w:right="-23"/>
        <w:contextualSpacing w:val="0"/>
        <w:rPr>
          <w:b/>
        </w:rPr>
      </w:pPr>
      <w:r>
        <w:rPr>
          <w:b/>
        </w:rPr>
        <w:t>Data Quality</w:t>
      </w:r>
    </w:p>
    <w:p w14:paraId="7C0AF6C1" w14:textId="77777777" w:rsidR="006A4D83" w:rsidRPr="00F33365" w:rsidRDefault="00A07CED" w:rsidP="00140F71">
      <w:pPr>
        <w:pStyle w:val="Paragraphedeliste"/>
        <w:spacing w:before="120" w:after="120"/>
        <w:ind w:left="0" w:right="-23"/>
        <w:contextualSpacing w:val="0"/>
      </w:pPr>
      <w:r w:rsidRPr="00B64350">
        <w:t xml:space="preserve">Filters and supernatants were received on </w:t>
      </w:r>
      <w:r>
        <w:t xml:space="preserve">03.04.19 and analyzed on 10.04.19 (MS) and 11.04.19 (NMR). </w:t>
      </w:r>
      <w:r w:rsidR="00F33365" w:rsidRPr="00F33365">
        <w:t>All the acceptability criteria were satisfied</w:t>
      </w:r>
      <w:r w:rsidR="00F33365">
        <w:t>, values meet MetaToul’s acceptance as shown in the table below.</w:t>
      </w:r>
    </w:p>
    <w:tbl>
      <w:tblPr>
        <w:tblStyle w:val="Grilledutableau"/>
        <w:tblW w:w="0" w:type="auto"/>
        <w:tblLook w:val="04A0" w:firstRow="1" w:lastRow="0" w:firstColumn="1" w:lastColumn="0" w:noHBand="0" w:noVBand="1"/>
      </w:tblPr>
      <w:tblGrid>
        <w:gridCol w:w="2376"/>
        <w:gridCol w:w="2552"/>
        <w:gridCol w:w="2410"/>
      </w:tblGrid>
      <w:tr w:rsidR="00CC6924" w14:paraId="7F4DE91B" w14:textId="77777777" w:rsidTr="00D67747">
        <w:tc>
          <w:tcPr>
            <w:tcW w:w="2376" w:type="dxa"/>
            <w:tcBorders>
              <w:top w:val="single" w:sz="4" w:space="0" w:color="auto"/>
              <w:left w:val="nil"/>
              <w:bottom w:val="single" w:sz="4" w:space="0" w:color="auto"/>
              <w:right w:val="nil"/>
            </w:tcBorders>
          </w:tcPr>
          <w:p w14:paraId="4BA935A3" w14:textId="77777777" w:rsidR="00CC6924" w:rsidRPr="00CC6924" w:rsidRDefault="00CC6924" w:rsidP="00140F71">
            <w:pPr>
              <w:pStyle w:val="Paragraphedeliste"/>
              <w:ind w:left="0" w:right="-23"/>
              <w:contextualSpacing w:val="0"/>
              <w:jc w:val="center"/>
              <w:rPr>
                <w:b/>
                <w:sz w:val="20"/>
                <w:szCs w:val="20"/>
              </w:rPr>
            </w:pPr>
          </w:p>
        </w:tc>
        <w:tc>
          <w:tcPr>
            <w:tcW w:w="2552" w:type="dxa"/>
            <w:tcBorders>
              <w:top w:val="single" w:sz="4" w:space="0" w:color="auto"/>
              <w:left w:val="nil"/>
              <w:bottom w:val="single" w:sz="4" w:space="0" w:color="auto"/>
              <w:right w:val="nil"/>
            </w:tcBorders>
          </w:tcPr>
          <w:p w14:paraId="357B7ADE" w14:textId="77777777" w:rsidR="00CC6924" w:rsidRPr="00CC6924" w:rsidRDefault="00CC6924" w:rsidP="00140F71">
            <w:pPr>
              <w:pStyle w:val="Paragraphedeliste"/>
              <w:ind w:left="0" w:right="-23"/>
              <w:contextualSpacing w:val="0"/>
              <w:jc w:val="center"/>
              <w:rPr>
                <w:b/>
                <w:sz w:val="20"/>
                <w:szCs w:val="20"/>
              </w:rPr>
            </w:pPr>
          </w:p>
        </w:tc>
        <w:tc>
          <w:tcPr>
            <w:tcW w:w="2410" w:type="dxa"/>
            <w:tcBorders>
              <w:top w:val="single" w:sz="4" w:space="0" w:color="auto"/>
              <w:left w:val="nil"/>
              <w:bottom w:val="single" w:sz="4" w:space="0" w:color="auto"/>
              <w:right w:val="nil"/>
            </w:tcBorders>
          </w:tcPr>
          <w:p w14:paraId="5D256985" w14:textId="77777777" w:rsidR="00CC6924" w:rsidRPr="00CC6924" w:rsidRDefault="00CC6924" w:rsidP="00140F71">
            <w:pPr>
              <w:pStyle w:val="Paragraphedeliste"/>
              <w:ind w:left="0" w:right="-23"/>
              <w:contextualSpacing w:val="0"/>
              <w:jc w:val="center"/>
              <w:rPr>
                <w:b/>
                <w:sz w:val="20"/>
                <w:szCs w:val="20"/>
              </w:rPr>
            </w:pPr>
            <w:r w:rsidRPr="00CC6924">
              <w:rPr>
                <w:b/>
                <w:sz w:val="20"/>
                <w:szCs w:val="20"/>
              </w:rPr>
              <w:t>Acceptability criteria</w:t>
            </w:r>
          </w:p>
        </w:tc>
      </w:tr>
      <w:tr w:rsidR="00CC6924" w14:paraId="7C73764C" w14:textId="77777777" w:rsidTr="00D67747">
        <w:tc>
          <w:tcPr>
            <w:tcW w:w="2376" w:type="dxa"/>
            <w:tcBorders>
              <w:top w:val="single" w:sz="4" w:space="0" w:color="auto"/>
              <w:left w:val="single" w:sz="4" w:space="0" w:color="auto"/>
              <w:bottom w:val="nil"/>
              <w:right w:val="nil"/>
            </w:tcBorders>
          </w:tcPr>
          <w:p w14:paraId="6AF4B02F" w14:textId="77777777" w:rsidR="00CC6924" w:rsidRPr="00CC6924" w:rsidRDefault="00CC6924" w:rsidP="00140F71">
            <w:pPr>
              <w:pStyle w:val="Paragraphedeliste"/>
              <w:spacing w:line="276" w:lineRule="auto"/>
              <w:ind w:left="0" w:right="-23"/>
              <w:contextualSpacing w:val="0"/>
              <w:jc w:val="center"/>
              <w:rPr>
                <w:sz w:val="20"/>
                <w:szCs w:val="20"/>
              </w:rPr>
            </w:pPr>
            <w:r w:rsidRPr="00CC6924">
              <w:rPr>
                <w:sz w:val="20"/>
                <w:szCs w:val="20"/>
              </w:rPr>
              <w:t>MS calibration ≤ 7 days</w:t>
            </w:r>
          </w:p>
        </w:tc>
        <w:tc>
          <w:tcPr>
            <w:tcW w:w="2552" w:type="dxa"/>
            <w:tcBorders>
              <w:top w:val="single" w:sz="4" w:space="0" w:color="auto"/>
              <w:left w:val="nil"/>
              <w:bottom w:val="nil"/>
              <w:right w:val="nil"/>
            </w:tcBorders>
          </w:tcPr>
          <w:p w14:paraId="4817F32F" w14:textId="77777777" w:rsidR="00CC6924" w:rsidRPr="00CC6924" w:rsidRDefault="00CC6924" w:rsidP="00140F71">
            <w:pPr>
              <w:pStyle w:val="Paragraphedeliste"/>
              <w:spacing w:line="276" w:lineRule="auto"/>
              <w:ind w:left="0" w:right="-23"/>
              <w:contextualSpacing w:val="0"/>
              <w:rPr>
                <w:sz w:val="20"/>
                <w:szCs w:val="20"/>
              </w:rPr>
            </w:pPr>
            <w:r w:rsidRPr="00CC6924">
              <w:rPr>
                <w:sz w:val="20"/>
                <w:szCs w:val="20"/>
              </w:rPr>
              <w:t>Day of injection (11.04.19)</w:t>
            </w:r>
          </w:p>
        </w:tc>
        <w:tc>
          <w:tcPr>
            <w:tcW w:w="2410" w:type="dxa"/>
            <w:tcBorders>
              <w:top w:val="single" w:sz="4" w:space="0" w:color="auto"/>
              <w:left w:val="nil"/>
              <w:bottom w:val="nil"/>
              <w:right w:val="single" w:sz="4" w:space="0" w:color="auto"/>
            </w:tcBorders>
          </w:tcPr>
          <w:p w14:paraId="59D93281" w14:textId="77777777" w:rsidR="00CC6924" w:rsidRPr="00CC6924" w:rsidRDefault="00CC6924" w:rsidP="00140F71">
            <w:pPr>
              <w:pStyle w:val="Paragraphedeliste"/>
              <w:spacing w:line="276" w:lineRule="auto"/>
              <w:ind w:left="0" w:right="-23"/>
              <w:contextualSpacing w:val="0"/>
              <w:jc w:val="center"/>
              <w:rPr>
                <w:b/>
                <w:sz w:val="20"/>
                <w:szCs w:val="20"/>
              </w:rPr>
            </w:pPr>
            <w:r>
              <w:rPr>
                <w:b/>
                <w:sz w:val="20"/>
                <w:szCs w:val="20"/>
              </w:rPr>
              <w:t>Passed</w:t>
            </w:r>
          </w:p>
        </w:tc>
      </w:tr>
      <w:tr w:rsidR="00CC6924" w14:paraId="02D8C293" w14:textId="77777777" w:rsidTr="00B77D20">
        <w:tc>
          <w:tcPr>
            <w:tcW w:w="2376" w:type="dxa"/>
            <w:tcBorders>
              <w:top w:val="nil"/>
              <w:left w:val="single" w:sz="4" w:space="0" w:color="auto"/>
              <w:bottom w:val="single" w:sz="4" w:space="0" w:color="auto"/>
              <w:right w:val="nil"/>
            </w:tcBorders>
            <w:vAlign w:val="center"/>
          </w:tcPr>
          <w:p w14:paraId="748E2FFA" w14:textId="77777777" w:rsidR="00CC6924" w:rsidRPr="00CC6924" w:rsidRDefault="00CC6924" w:rsidP="00140F71">
            <w:pPr>
              <w:pStyle w:val="Paragraphedeliste"/>
              <w:spacing w:line="276" w:lineRule="auto"/>
              <w:ind w:left="0" w:right="-23"/>
              <w:contextualSpacing w:val="0"/>
              <w:jc w:val="center"/>
              <w:rPr>
                <w:sz w:val="20"/>
                <w:szCs w:val="20"/>
              </w:rPr>
            </w:pPr>
            <w:r w:rsidRPr="00CC6924">
              <w:rPr>
                <w:sz w:val="20"/>
                <w:szCs w:val="20"/>
              </w:rPr>
              <w:t>Bias on Pascal Triangle sample ≤ 5%</w:t>
            </w:r>
          </w:p>
        </w:tc>
        <w:tc>
          <w:tcPr>
            <w:tcW w:w="2552" w:type="dxa"/>
            <w:tcBorders>
              <w:top w:val="nil"/>
              <w:left w:val="nil"/>
              <w:bottom w:val="single" w:sz="4" w:space="0" w:color="auto"/>
              <w:right w:val="nil"/>
            </w:tcBorders>
          </w:tcPr>
          <w:p w14:paraId="0DD37918" w14:textId="77777777" w:rsidR="00CC6924" w:rsidRDefault="00CC6924" w:rsidP="00140F71">
            <w:pPr>
              <w:pStyle w:val="Paragraphedeliste"/>
              <w:tabs>
                <w:tab w:val="left" w:pos="903"/>
              </w:tabs>
              <w:spacing w:line="276" w:lineRule="auto"/>
              <w:ind w:left="0" w:right="-23"/>
              <w:contextualSpacing w:val="0"/>
              <w:rPr>
                <w:sz w:val="20"/>
                <w:szCs w:val="20"/>
              </w:rPr>
            </w:pPr>
            <w:r>
              <w:rPr>
                <w:sz w:val="20"/>
                <w:szCs w:val="20"/>
              </w:rPr>
              <w:t>PEP</w:t>
            </w:r>
            <w:r>
              <w:rPr>
                <w:sz w:val="20"/>
                <w:szCs w:val="20"/>
              </w:rPr>
              <w:tab/>
              <w:t>-1.4% max</w:t>
            </w:r>
          </w:p>
          <w:p w14:paraId="04D93728" w14:textId="77777777" w:rsidR="00CC6924" w:rsidRDefault="00CC6924" w:rsidP="00140F71">
            <w:pPr>
              <w:pStyle w:val="Paragraphedeliste"/>
              <w:tabs>
                <w:tab w:val="left" w:pos="903"/>
              </w:tabs>
              <w:spacing w:line="276" w:lineRule="auto"/>
              <w:ind w:left="0" w:right="-23"/>
              <w:contextualSpacing w:val="0"/>
              <w:rPr>
                <w:sz w:val="20"/>
                <w:szCs w:val="20"/>
              </w:rPr>
            </w:pPr>
            <w:r>
              <w:rPr>
                <w:sz w:val="20"/>
                <w:szCs w:val="20"/>
              </w:rPr>
              <w:t>FruBP</w:t>
            </w:r>
            <w:r>
              <w:rPr>
                <w:sz w:val="20"/>
                <w:szCs w:val="20"/>
              </w:rPr>
              <w:tab/>
              <w:t>-2.5% max</w:t>
            </w:r>
          </w:p>
          <w:p w14:paraId="1C25BE2B" w14:textId="77777777" w:rsidR="00CC6924" w:rsidRPr="00CC6924" w:rsidRDefault="00CC6924" w:rsidP="00140F71">
            <w:pPr>
              <w:pStyle w:val="Paragraphedeliste"/>
              <w:tabs>
                <w:tab w:val="left" w:pos="903"/>
              </w:tabs>
              <w:spacing w:line="276" w:lineRule="auto"/>
              <w:ind w:left="0" w:right="-23"/>
              <w:contextualSpacing w:val="0"/>
              <w:rPr>
                <w:sz w:val="20"/>
                <w:szCs w:val="20"/>
              </w:rPr>
            </w:pPr>
            <w:r>
              <w:rPr>
                <w:sz w:val="20"/>
                <w:szCs w:val="20"/>
              </w:rPr>
              <w:t>ATP</w:t>
            </w:r>
            <w:r>
              <w:rPr>
                <w:sz w:val="20"/>
                <w:szCs w:val="20"/>
              </w:rPr>
              <w:tab/>
              <w:t>2.4% max</w:t>
            </w:r>
          </w:p>
        </w:tc>
        <w:tc>
          <w:tcPr>
            <w:tcW w:w="2410" w:type="dxa"/>
            <w:tcBorders>
              <w:top w:val="nil"/>
              <w:left w:val="nil"/>
              <w:bottom w:val="single" w:sz="4" w:space="0" w:color="auto"/>
              <w:right w:val="single" w:sz="4" w:space="0" w:color="auto"/>
            </w:tcBorders>
          </w:tcPr>
          <w:p w14:paraId="6EFD39C8" w14:textId="77777777" w:rsidR="00CC6924" w:rsidRDefault="00CC6924" w:rsidP="00140F71">
            <w:pPr>
              <w:pStyle w:val="Paragraphedeliste"/>
              <w:spacing w:line="276" w:lineRule="auto"/>
              <w:ind w:left="0" w:right="-23"/>
              <w:contextualSpacing w:val="0"/>
              <w:jc w:val="center"/>
              <w:rPr>
                <w:b/>
                <w:sz w:val="20"/>
                <w:szCs w:val="20"/>
              </w:rPr>
            </w:pPr>
            <w:r>
              <w:rPr>
                <w:b/>
                <w:sz w:val="20"/>
                <w:szCs w:val="20"/>
              </w:rPr>
              <w:t>Passed</w:t>
            </w:r>
          </w:p>
          <w:p w14:paraId="039E9669" w14:textId="77777777" w:rsidR="00CC6924" w:rsidRDefault="00CC6924" w:rsidP="00140F71">
            <w:pPr>
              <w:pStyle w:val="Paragraphedeliste"/>
              <w:spacing w:line="276" w:lineRule="auto"/>
              <w:ind w:left="0" w:right="-23"/>
              <w:contextualSpacing w:val="0"/>
              <w:jc w:val="center"/>
              <w:rPr>
                <w:b/>
                <w:sz w:val="20"/>
                <w:szCs w:val="20"/>
              </w:rPr>
            </w:pPr>
            <w:r>
              <w:rPr>
                <w:b/>
                <w:sz w:val="20"/>
                <w:szCs w:val="20"/>
              </w:rPr>
              <w:t>Passed</w:t>
            </w:r>
          </w:p>
          <w:p w14:paraId="75FCEB38" w14:textId="77777777" w:rsidR="00CC6924" w:rsidRPr="00CC6924" w:rsidRDefault="00CC6924" w:rsidP="00140F71">
            <w:pPr>
              <w:pStyle w:val="Paragraphedeliste"/>
              <w:spacing w:line="276" w:lineRule="auto"/>
              <w:ind w:left="0" w:right="-23"/>
              <w:contextualSpacing w:val="0"/>
              <w:jc w:val="center"/>
              <w:rPr>
                <w:b/>
                <w:sz w:val="20"/>
                <w:szCs w:val="20"/>
              </w:rPr>
            </w:pPr>
            <w:r>
              <w:rPr>
                <w:b/>
                <w:sz w:val="20"/>
                <w:szCs w:val="20"/>
              </w:rPr>
              <w:t>Passed</w:t>
            </w:r>
          </w:p>
        </w:tc>
      </w:tr>
    </w:tbl>
    <w:p w14:paraId="50AD455D" w14:textId="77777777" w:rsidR="00825E44" w:rsidRDefault="00825E44" w:rsidP="00140F71">
      <w:pPr>
        <w:pStyle w:val="Paragraphedeliste"/>
        <w:ind w:left="0" w:right="-23"/>
        <w:contextualSpacing w:val="0"/>
        <w:rPr>
          <w:b/>
        </w:rPr>
      </w:pPr>
    </w:p>
    <w:p w14:paraId="224AD0F7" w14:textId="3C85A045" w:rsidR="00C84334" w:rsidRPr="007A3580" w:rsidRDefault="00F858CD" w:rsidP="00A24761">
      <w:pPr>
        <w:pStyle w:val="Paragraphedeliste"/>
        <w:numPr>
          <w:ilvl w:val="0"/>
          <w:numId w:val="3"/>
        </w:numPr>
        <w:ind w:right="-23"/>
        <w:contextualSpacing w:val="0"/>
        <w:rPr>
          <w:b/>
        </w:rPr>
      </w:pPr>
      <w:r w:rsidRPr="007A3580">
        <w:rPr>
          <w:b/>
        </w:rPr>
        <w:t>Data extraction and Quality</w:t>
      </w:r>
    </w:p>
    <w:p w14:paraId="355970E7" w14:textId="19D54E6B" w:rsidR="00F858CD" w:rsidRDefault="00F858CD" w:rsidP="00140F71">
      <w:pPr>
        <w:pStyle w:val="Paragraphedeliste"/>
        <w:ind w:left="0" w:right="-23"/>
        <w:contextualSpacing w:val="0"/>
        <w:rPr>
          <w:b/>
        </w:rPr>
      </w:pPr>
      <w:r w:rsidRPr="007A3580">
        <w:t xml:space="preserve">The data extraction of the raw mass spec data files yielded information that could loaded into a relational database. Peaks were identified using </w:t>
      </w:r>
      <w:r w:rsidR="00A46B66">
        <w:t xml:space="preserve">IsoCor </w:t>
      </w:r>
      <w:r w:rsidRPr="007A3580">
        <w:t>peak integration software</w:t>
      </w:r>
      <w:r w:rsidR="009B5297">
        <w:fldChar w:fldCharType="begin"/>
      </w:r>
      <w:r w:rsidR="009B5055">
        <w:instrText xml:space="preserve"> ADDIN ZOTERO_ITEM CSL_CITATION {"citationID":"d92lvd4F","properties":{"formattedCitation":"\\super 8\\nosupersub{}","plainCitation":"8","noteIndex":0},"citationItems":[{"id":367,"uris":["http://zotero.org/users/local/CYmw5IYM/items/R59594I2"],"uri":["http://zotero.org/users/local/CYmw5IYM/items/R59594I2"],"itemData":{"id":367,"type":"article-journal","abstract":"Mass spectrometry (MS) is widely used for isotopic labeling studies of metabolism and other biological processes. Quantitative applications-e.g. metabolic flux analysis-require tools to correct the raw MS data for the contribution of all naturally abundant isotopes. IsoCor is a software that allows such correction to be applied to any chemical species. Hence it can be used to exploit any isotopic tracer, from well-known ((13)C, (15)N, (18)O, etc) to unusual ((57)Fe, (77)Se, etc) isotopes. It also provides new features-e.g. correction for the isotopic purity of the tracer-to improve the accuracy of quantitative isotopic studies, and implements an efficient algorithm to process large datasets. Its user-friendly interface makes isotope labeling experiments more accessible to a wider biological community.\nAVAILABILITY: IsoCor is distributed under OpenSource license at http://metasys.insa-toulouse.fr/software/isocor/","container-title":"Bioinformatics (Oxford, England)","DOI":"10.1093/bioinformatics/bts127","ISSN":"1367-4811","issue":"9","journalAbbreviation":"Bioinformatics","language":"eng","note":"PMID: 22419781","page":"1294-1296","source":"PubMed","title":"IsoCor: correcting MS data in isotope labeling experiments","title-short":"IsoCor","volume":"28","author":[{"family":"Millard","given":"Pierre"},{"family":"Letisse","given":"Fabien"},{"family":"Sokol","given":"Serguei"},{"family":"Portais","given":"Jean-Charles"}],"issued":{"date-parts":[["2012",5,1]]}}}],"schema":"https://github.com/citation-style-language/schema/raw/master/csl-citation.json"} </w:instrText>
      </w:r>
      <w:r w:rsidR="009B5297">
        <w:fldChar w:fldCharType="separate"/>
      </w:r>
      <w:r w:rsidR="009B5055" w:rsidRPr="009B5055">
        <w:rPr>
          <w:vertAlign w:val="superscript"/>
        </w:rPr>
        <w:t>8</w:t>
      </w:r>
      <w:r w:rsidR="009B5297">
        <w:fldChar w:fldCharType="end"/>
      </w:r>
      <w:r w:rsidRPr="007A3580">
        <w:t>.</w:t>
      </w:r>
    </w:p>
    <w:p w14:paraId="434D1301" w14:textId="7DCBB5CE" w:rsidR="00882AE5" w:rsidRDefault="00882AE5" w:rsidP="00A24761">
      <w:pPr>
        <w:pStyle w:val="Paragraphedeliste"/>
        <w:numPr>
          <w:ilvl w:val="0"/>
          <w:numId w:val="3"/>
        </w:numPr>
        <w:ind w:right="-23"/>
        <w:contextualSpacing w:val="0"/>
        <w:rPr>
          <w:b/>
        </w:rPr>
      </w:pPr>
      <w:r>
        <w:rPr>
          <w:b/>
        </w:rPr>
        <w:t>Normalization</w:t>
      </w:r>
    </w:p>
    <w:p w14:paraId="7EDED2F8" w14:textId="77777777" w:rsidR="00882AE5" w:rsidRDefault="00882AE5" w:rsidP="00140F71">
      <w:pPr>
        <w:pStyle w:val="Paragraphedeliste"/>
        <w:ind w:left="0" w:right="-23"/>
        <w:contextualSpacing w:val="0"/>
      </w:pPr>
      <w:r w:rsidRPr="00882AE5">
        <w:t xml:space="preserve">Data </w:t>
      </w:r>
      <w:r w:rsidR="00E96D34">
        <w:t>correction</w:t>
      </w:r>
      <w:r w:rsidRPr="00882AE5">
        <w:t xml:space="preserve"> was performer to correct variation resulting from </w:t>
      </w:r>
      <w:r>
        <w:t>the difference of c</w:t>
      </w:r>
      <w:r w:rsidR="00E96D34">
        <w:t>ell number into each condition.</w:t>
      </w:r>
      <w:r w:rsidR="00285F95">
        <w:t xml:space="preserve"> For abundance interpretation, sample P3 LDHA/B at 24 h and 48 h were 2-times concentrated.</w:t>
      </w:r>
    </w:p>
    <w:p w14:paraId="45506A7B" w14:textId="77777777" w:rsidR="00882AE5" w:rsidRDefault="00882AE5" w:rsidP="00140F71">
      <w:pPr>
        <w:pStyle w:val="Paragraphedeliste"/>
        <w:ind w:left="0" w:right="-23"/>
        <w:contextualSpacing w:val="0"/>
        <w:rPr>
          <w:b/>
        </w:rPr>
      </w:pPr>
    </w:p>
    <w:p w14:paraId="3911CA39" w14:textId="77777777" w:rsidR="00C84334" w:rsidRPr="0015231D" w:rsidRDefault="00CA6A4F" w:rsidP="00140F71">
      <w:pPr>
        <w:rPr>
          <w:b/>
          <w:u w:val="single"/>
        </w:rPr>
      </w:pPr>
      <w:r w:rsidRPr="0015231D">
        <w:rPr>
          <w:b/>
          <w:u w:val="single"/>
        </w:rPr>
        <w:t>Metabolomics Supplemental Method</w:t>
      </w:r>
      <w:r w:rsidR="00970929" w:rsidRPr="0015231D">
        <w:rPr>
          <w:b/>
          <w:u w:val="single"/>
        </w:rPr>
        <w:t xml:space="preserve"> 2</w:t>
      </w:r>
      <w:r w:rsidRPr="0015231D">
        <w:rPr>
          <w:b/>
          <w:u w:val="single"/>
        </w:rPr>
        <w:t>:</w:t>
      </w:r>
      <w:r w:rsidRPr="0015231D">
        <w:rPr>
          <w:rFonts w:eastAsiaTheme="minorHAnsi"/>
          <w:b/>
          <w:u w:val="single"/>
          <w:lang w:val="en-GB" w:bidi="en-US"/>
        </w:rPr>
        <w:t xml:space="preserve"> </w:t>
      </w:r>
      <w:r w:rsidR="00BE22C6" w:rsidRPr="0015231D">
        <w:rPr>
          <w:rFonts w:eastAsiaTheme="minorHAnsi"/>
          <w:b/>
          <w:u w:val="single"/>
          <w:lang w:val="en-GB" w:bidi="en-US"/>
        </w:rPr>
        <w:t>[</w:t>
      </w:r>
      <w:r w:rsidR="00BE22C6" w:rsidRPr="0015231D">
        <w:rPr>
          <w:rFonts w:eastAsiaTheme="minorHAnsi"/>
          <w:b/>
          <w:u w:val="single"/>
          <w:vertAlign w:val="superscript"/>
          <w:lang w:val="en-GB" w:bidi="en-US"/>
        </w:rPr>
        <w:t>13</w:t>
      </w:r>
      <w:r w:rsidR="00BE22C6" w:rsidRPr="0015231D">
        <w:rPr>
          <w:rFonts w:eastAsiaTheme="minorHAnsi"/>
          <w:b/>
          <w:u w:val="single"/>
          <w:lang w:val="en-GB" w:bidi="en-US"/>
        </w:rPr>
        <w:t>C]</w:t>
      </w:r>
      <w:r w:rsidR="00BE22C6" w:rsidRPr="0015231D">
        <w:rPr>
          <w:rFonts w:eastAsiaTheme="minorHAnsi"/>
          <w:b/>
          <w:u w:val="single"/>
          <w:vertAlign w:val="subscript"/>
          <w:lang w:val="en-GB" w:bidi="en-US"/>
        </w:rPr>
        <w:t>6</w:t>
      </w:r>
      <w:r w:rsidR="00BE22C6" w:rsidRPr="0015231D">
        <w:rPr>
          <w:b/>
          <w:u w:val="single"/>
          <w:lang w:val="en-GB"/>
        </w:rPr>
        <w:t> </w:t>
      </w:r>
      <w:r w:rsidR="00BE22C6" w:rsidRPr="0015231D">
        <w:rPr>
          <w:rFonts w:eastAsiaTheme="minorHAnsi"/>
          <w:b/>
          <w:u w:val="single"/>
          <w:lang w:val="en-GB" w:bidi="en-US"/>
        </w:rPr>
        <w:t xml:space="preserve">Lactate – </w:t>
      </w:r>
      <w:r w:rsidR="00BE22C6" w:rsidRPr="0015231D">
        <w:rPr>
          <w:rFonts w:eastAsiaTheme="minorHAnsi"/>
          <w:b/>
          <w:u w:val="single"/>
          <w:vertAlign w:val="superscript"/>
          <w:lang w:val="en-GB" w:bidi="en-US"/>
        </w:rPr>
        <w:t>13</w:t>
      </w:r>
      <w:r w:rsidR="00BE22C6" w:rsidRPr="0015231D">
        <w:rPr>
          <w:rFonts w:eastAsiaTheme="minorHAnsi"/>
          <w:b/>
          <w:u w:val="single"/>
          <w:lang w:val="en-GB" w:bidi="en-US"/>
        </w:rPr>
        <w:t>C isotopic profiling</w:t>
      </w:r>
    </w:p>
    <w:p w14:paraId="7A87C8DE" w14:textId="473D9F6B" w:rsidR="00A84151" w:rsidRDefault="00A84151" w:rsidP="00A24761">
      <w:pPr>
        <w:pStyle w:val="Paragraphedeliste"/>
        <w:numPr>
          <w:ilvl w:val="0"/>
          <w:numId w:val="3"/>
        </w:numPr>
        <w:spacing w:before="120" w:after="120"/>
        <w:ind w:right="-23"/>
        <w:contextualSpacing w:val="0"/>
        <w:rPr>
          <w:b/>
        </w:rPr>
      </w:pPr>
      <w:r>
        <w:rPr>
          <w:b/>
        </w:rPr>
        <w:t>Sample preparations</w:t>
      </w:r>
    </w:p>
    <w:p w14:paraId="4631D686" w14:textId="77777777" w:rsidR="00A84151" w:rsidRDefault="00425893" w:rsidP="00140F71">
      <w:pPr>
        <w:pStyle w:val="Paragraphedeliste"/>
        <w:spacing w:before="120" w:after="120"/>
        <w:ind w:left="0" w:right="-23"/>
        <w:contextualSpacing w:val="0"/>
      </w:pPr>
      <w:r w:rsidRPr="00C84E1D">
        <w:t>Metabolite extraction was performed using 80% methanol and 0.2% of myristic acid d27 (internal standard). After 5 minutes of incubation cells were scraped and collected in a new tube.  Following a centrifugation at 20’000 G for 10 minutes at 4°C, the supernatant was transferred to a new vial for MS analysis. Pellet was used for protein quantification.</w:t>
      </w:r>
    </w:p>
    <w:p w14:paraId="00FF9F7C" w14:textId="5B61138B" w:rsidR="00A84151" w:rsidRDefault="00A84151" w:rsidP="00A24761">
      <w:pPr>
        <w:pStyle w:val="Paragraphedeliste"/>
        <w:numPr>
          <w:ilvl w:val="0"/>
          <w:numId w:val="3"/>
        </w:numPr>
        <w:spacing w:before="120" w:after="120"/>
        <w:ind w:right="-23"/>
        <w:contextualSpacing w:val="0"/>
        <w:rPr>
          <w:b/>
        </w:rPr>
      </w:pPr>
      <w:r>
        <w:rPr>
          <w:b/>
        </w:rPr>
        <w:t xml:space="preserve">Liquid chromatography / </w:t>
      </w:r>
      <w:r w:rsidRPr="003133CC">
        <w:rPr>
          <w:b/>
        </w:rPr>
        <w:t>Mass Spectrometry analysis</w:t>
      </w:r>
    </w:p>
    <w:p w14:paraId="30FB8BB3" w14:textId="23B213E4" w:rsidR="004E1885" w:rsidRDefault="00425893" w:rsidP="00852D46">
      <w:r w:rsidRPr="00C84E1D">
        <w:rPr>
          <w:rFonts w:eastAsia="Times New Roman" w:cstheme="minorHAnsi"/>
        </w:rPr>
        <w:t xml:space="preserve">10 µl of each sample was loaded into a </w:t>
      </w:r>
      <w:r w:rsidRPr="00C84E1D">
        <w:t xml:space="preserve">Dionex UltiMate 3000 LC System (Thermo Scientific </w:t>
      </w:r>
      <w:bookmarkStart w:id="1" w:name="OLE_LINK2"/>
      <w:r w:rsidRPr="00C84E1D">
        <w:rPr>
          <w:rFonts w:eastAsia="Times New Roman" w:cstheme="minorHAnsi"/>
        </w:rPr>
        <w:t>Bremen, Germany</w:t>
      </w:r>
      <w:bookmarkEnd w:id="1"/>
      <w:r w:rsidRPr="00C84E1D">
        <w:rPr>
          <w:rFonts w:eastAsia="Times New Roman" w:cstheme="minorHAnsi"/>
        </w:rPr>
        <w:t xml:space="preserve">) equipped with a C-18 column (Acquity UPLC -HSS T3 1. 8 µm; 2.1 x 150 mm, Waters) </w:t>
      </w:r>
      <w:r w:rsidRPr="00C84E1D">
        <w:lastRenderedPageBreak/>
        <w:t>coupled to a Q Exactive Orbitrap mass spectrometer (Thermo Scientific) operating in negative ion mode.</w:t>
      </w:r>
      <w:r w:rsidRPr="00C84E1D">
        <w:rPr>
          <w:rFonts w:eastAsia="Times New Roman" w:cstheme="minorHAnsi"/>
        </w:rPr>
        <w:t xml:space="preserve"> A step gradient was carried out using solvent A (10 mM TBA and 15 mM acetic acid) and solvent B (100% methanol). </w:t>
      </w:r>
      <w:r w:rsidRPr="00C84E1D">
        <w:t>The gradient started with 0% of solvent B and 100% solvent A and remained at 0% B until 2 min post injection. A linear gradient to 37% B was carried out until 7 min and increased to 41% until 14 min. Between 14 and 26 minutes the gradient increased to 100% of B and remained at 100% B for 4 minutes.  At 30 min the gradient returned to 0% B. The chromatography was stopped at 40 min. The flow was kept constant at 250 uL/min at the column was placed at 25°C throughout the analysis</w:t>
      </w:r>
      <w:r w:rsidRPr="00C84E1D">
        <w:rPr>
          <w:rFonts w:eastAsia="Times New Roman" w:cstheme="minorHAnsi"/>
        </w:rPr>
        <w:t>.</w:t>
      </w:r>
      <w:r w:rsidRPr="00C84E1D">
        <w:t xml:space="preserve"> </w:t>
      </w:r>
      <w:r w:rsidRPr="00C84E1D">
        <w:rPr>
          <w:rFonts w:eastAsia="Times New Roman" w:cstheme="minorHAnsi"/>
        </w:rPr>
        <w:t>The MS operated in full scan mode (m/z range: [70–1050]) using a spray voltage of 3.2 kV, capillary temperature of 320 °C, sheath gas at 10.0, auxiliary gas at 5.0. The AGC target was set at 3e6 using a resolution of 140.000, with a maximum IT fill time of 512ms. Data collection was performed using the Xcalibur software (Thermo Scientific). The data analyses were performed by integrating the peak areas (El-Maven – Polly - Elucidata).</w:t>
      </w:r>
    </w:p>
    <w:p w14:paraId="01B1C456" w14:textId="77777777" w:rsidR="00852D46" w:rsidRPr="00852D46" w:rsidRDefault="00852D46" w:rsidP="00852D46"/>
    <w:p w14:paraId="51364468" w14:textId="2D61FCAD" w:rsidR="00DC5E03" w:rsidRDefault="00DC5E03" w:rsidP="00140F71">
      <w:pPr>
        <w:pStyle w:val="Paragraphedeliste"/>
        <w:spacing w:before="120" w:after="120"/>
        <w:ind w:left="0" w:right="-23"/>
        <w:contextualSpacing w:val="0"/>
        <w:rPr>
          <w:b/>
          <w:u w:val="single"/>
        </w:rPr>
      </w:pPr>
      <w:r w:rsidRPr="00857EAC">
        <w:rPr>
          <w:b/>
          <w:u w:val="single"/>
        </w:rPr>
        <w:t>ELISA VEGF</w:t>
      </w:r>
      <w:r w:rsidRPr="004E1885">
        <w:rPr>
          <w:b/>
          <w:u w:val="single"/>
        </w:rPr>
        <w:t xml:space="preserve"> </w:t>
      </w:r>
    </w:p>
    <w:p w14:paraId="0AA15180" w14:textId="05AEADFD" w:rsidR="00AE367A" w:rsidRPr="00AE367A" w:rsidRDefault="00AE367A" w:rsidP="00AE367A">
      <w:pPr>
        <w:spacing w:before="120" w:after="120"/>
        <w:ind w:right="-23"/>
        <w:rPr>
          <w:b/>
          <w:bCs/>
        </w:rPr>
      </w:pPr>
      <w:r>
        <w:t>Supernatants</w:t>
      </w:r>
      <w:r w:rsidRPr="00AE367A">
        <w:t xml:space="preserve"> </w:t>
      </w:r>
      <w:r>
        <w:t xml:space="preserve">were collected from all cell lines and a </w:t>
      </w:r>
      <w:r w:rsidRPr="00AE367A">
        <w:rPr>
          <w:bCs/>
        </w:rPr>
        <w:t>VEGF Human ELISA Kit</w:t>
      </w:r>
      <w:r w:rsidR="00E4551F">
        <w:rPr>
          <w:bCs/>
        </w:rPr>
        <w:t xml:space="preserve"> (Thermo Fisher) and procedure was followed based on manufacturer instructions. </w:t>
      </w:r>
    </w:p>
    <w:p w14:paraId="2327389D" w14:textId="058DE966" w:rsidR="00AE367A" w:rsidRDefault="00AE367A" w:rsidP="00140F71">
      <w:pPr>
        <w:pStyle w:val="Paragraphedeliste"/>
        <w:spacing w:before="120" w:after="120"/>
        <w:ind w:left="0" w:right="-23"/>
        <w:contextualSpacing w:val="0"/>
      </w:pPr>
    </w:p>
    <w:p w14:paraId="030FA4A5" w14:textId="77777777" w:rsidR="001C59BD" w:rsidRDefault="001C59BD" w:rsidP="00140F71">
      <w:pPr>
        <w:pStyle w:val="Paragraphedeliste"/>
        <w:spacing w:before="120" w:after="120"/>
        <w:ind w:left="0" w:right="-23"/>
        <w:contextualSpacing w:val="0"/>
        <w:rPr>
          <w:b/>
          <w:sz w:val="24"/>
          <w:u w:val="single"/>
        </w:rPr>
      </w:pPr>
    </w:p>
    <w:p w14:paraId="568CA88B" w14:textId="77777777" w:rsidR="001C59BD" w:rsidRDefault="001C59BD" w:rsidP="00140F71">
      <w:pPr>
        <w:pStyle w:val="Paragraphedeliste"/>
        <w:spacing w:before="120" w:after="120"/>
        <w:ind w:left="0" w:right="-23"/>
        <w:contextualSpacing w:val="0"/>
        <w:rPr>
          <w:b/>
          <w:sz w:val="24"/>
          <w:u w:val="single"/>
        </w:rPr>
      </w:pPr>
    </w:p>
    <w:p w14:paraId="1B5C4E80" w14:textId="77777777" w:rsidR="001C59BD" w:rsidRDefault="001C59BD" w:rsidP="00140F71">
      <w:pPr>
        <w:pStyle w:val="Paragraphedeliste"/>
        <w:spacing w:before="120" w:after="120"/>
        <w:ind w:left="0" w:right="-23"/>
        <w:contextualSpacing w:val="0"/>
        <w:rPr>
          <w:b/>
          <w:sz w:val="24"/>
          <w:u w:val="single"/>
        </w:rPr>
      </w:pPr>
    </w:p>
    <w:p w14:paraId="303FA008" w14:textId="6D2ABB32" w:rsidR="0074442A" w:rsidRDefault="0074442A" w:rsidP="00140F71">
      <w:pPr>
        <w:pStyle w:val="Paragraphedeliste"/>
        <w:spacing w:before="120" w:after="120"/>
        <w:ind w:left="0" w:right="-23"/>
        <w:contextualSpacing w:val="0"/>
        <w:rPr>
          <w:b/>
          <w:sz w:val="24"/>
          <w:u w:val="single"/>
        </w:rPr>
      </w:pPr>
      <w:r w:rsidRPr="0074442A">
        <w:rPr>
          <w:b/>
          <w:sz w:val="24"/>
          <w:u w:val="single"/>
        </w:rPr>
        <w:t>Supplementary references</w:t>
      </w:r>
    </w:p>
    <w:p w14:paraId="06CCADDD" w14:textId="03F7469A" w:rsidR="009B5055" w:rsidRPr="001C59BD" w:rsidRDefault="0074442A" w:rsidP="009B5055">
      <w:pPr>
        <w:widowControl w:val="0"/>
        <w:autoSpaceDE w:val="0"/>
        <w:autoSpaceDN w:val="0"/>
        <w:adjustRightInd w:val="0"/>
        <w:rPr>
          <w:sz w:val="21"/>
        </w:rPr>
      </w:pPr>
      <w:r w:rsidRPr="001C59BD">
        <w:rPr>
          <w:b/>
          <w:sz w:val="21"/>
        </w:rPr>
        <w:fldChar w:fldCharType="begin"/>
      </w:r>
      <w:r w:rsidRPr="001C59BD">
        <w:rPr>
          <w:sz w:val="21"/>
        </w:rPr>
        <w:instrText xml:space="preserve"> ADDIN ZOTERO_BIBL {"uncited":[],"omitted":[],"custom":[]} CSL_BIBLIOGRAPHY </w:instrText>
      </w:r>
      <w:r w:rsidRPr="001C59BD">
        <w:rPr>
          <w:b/>
          <w:sz w:val="21"/>
        </w:rPr>
        <w:fldChar w:fldCharType="separate"/>
      </w:r>
      <w:r w:rsidR="009B5055" w:rsidRPr="001C59BD">
        <w:rPr>
          <w:sz w:val="21"/>
        </w:rPr>
        <w:t>1.</w:t>
      </w:r>
      <w:r w:rsidR="001C59BD" w:rsidRPr="001C59BD">
        <w:rPr>
          <w:sz w:val="21"/>
        </w:rPr>
        <w:t xml:space="preserve"> </w:t>
      </w:r>
      <w:r w:rsidR="009B5055" w:rsidRPr="001C59BD">
        <w:rPr>
          <w:sz w:val="21"/>
        </w:rPr>
        <w:t xml:space="preserve">Darmanis, S. </w:t>
      </w:r>
      <w:r w:rsidR="009B5055" w:rsidRPr="001C59BD">
        <w:rPr>
          <w:i/>
          <w:iCs/>
          <w:sz w:val="21"/>
        </w:rPr>
        <w:t>et al.</w:t>
      </w:r>
      <w:r w:rsidR="009B5055" w:rsidRPr="001C59BD">
        <w:rPr>
          <w:sz w:val="21"/>
        </w:rPr>
        <w:t xml:space="preserve"> Single-Cell RNA-Seq Analysis of Infiltrating Neoplastic Cells at the Migrating Front of Human Glioblastoma. </w:t>
      </w:r>
      <w:r w:rsidR="009B5055" w:rsidRPr="001C59BD">
        <w:rPr>
          <w:i/>
          <w:iCs/>
          <w:sz w:val="21"/>
        </w:rPr>
        <w:t>Cell Rep.</w:t>
      </w:r>
      <w:r w:rsidR="009B5055" w:rsidRPr="001C59BD">
        <w:rPr>
          <w:sz w:val="21"/>
        </w:rPr>
        <w:t xml:space="preserve"> </w:t>
      </w:r>
      <w:r w:rsidR="009B5055" w:rsidRPr="001C59BD">
        <w:rPr>
          <w:b/>
          <w:bCs/>
          <w:sz w:val="21"/>
        </w:rPr>
        <w:t>21</w:t>
      </w:r>
      <w:r w:rsidR="009B5055" w:rsidRPr="001C59BD">
        <w:rPr>
          <w:sz w:val="21"/>
        </w:rPr>
        <w:t>, 1399–1410 (2017).</w:t>
      </w:r>
    </w:p>
    <w:p w14:paraId="7536AC1B" w14:textId="29FC1E9E" w:rsidR="009B5055" w:rsidRPr="001C59BD" w:rsidRDefault="009B5055" w:rsidP="009B5055">
      <w:pPr>
        <w:widowControl w:val="0"/>
        <w:autoSpaceDE w:val="0"/>
        <w:autoSpaceDN w:val="0"/>
        <w:adjustRightInd w:val="0"/>
        <w:rPr>
          <w:sz w:val="21"/>
        </w:rPr>
      </w:pPr>
      <w:r w:rsidRPr="001C59BD">
        <w:rPr>
          <w:sz w:val="21"/>
        </w:rPr>
        <w:t>2.</w:t>
      </w:r>
      <w:r w:rsidR="001C59BD" w:rsidRPr="001C59BD">
        <w:rPr>
          <w:sz w:val="21"/>
        </w:rPr>
        <w:t xml:space="preserve"> </w:t>
      </w:r>
      <w:r w:rsidRPr="001C59BD">
        <w:rPr>
          <w:sz w:val="21"/>
        </w:rPr>
        <w:t xml:space="preserve">Wingett, S. W. &amp; Andrews, S. FastQ Screen: A tool for multi-genome mapping and quality control. </w:t>
      </w:r>
      <w:r w:rsidRPr="001C59BD">
        <w:rPr>
          <w:i/>
          <w:iCs/>
          <w:sz w:val="21"/>
        </w:rPr>
        <w:t>F1000Research</w:t>
      </w:r>
      <w:r w:rsidRPr="001C59BD">
        <w:rPr>
          <w:sz w:val="21"/>
        </w:rPr>
        <w:t xml:space="preserve"> </w:t>
      </w:r>
      <w:r w:rsidRPr="001C59BD">
        <w:rPr>
          <w:b/>
          <w:bCs/>
          <w:sz w:val="21"/>
        </w:rPr>
        <w:t>7</w:t>
      </w:r>
      <w:r w:rsidRPr="001C59BD">
        <w:rPr>
          <w:sz w:val="21"/>
        </w:rPr>
        <w:t>, 1338 (2018).</w:t>
      </w:r>
    </w:p>
    <w:p w14:paraId="4D758A2F" w14:textId="5D8D19B2" w:rsidR="009B5055" w:rsidRPr="001C59BD" w:rsidRDefault="009B5055" w:rsidP="009B5055">
      <w:pPr>
        <w:widowControl w:val="0"/>
        <w:autoSpaceDE w:val="0"/>
        <w:autoSpaceDN w:val="0"/>
        <w:adjustRightInd w:val="0"/>
        <w:rPr>
          <w:sz w:val="21"/>
        </w:rPr>
      </w:pPr>
      <w:r w:rsidRPr="001C59BD">
        <w:rPr>
          <w:sz w:val="21"/>
        </w:rPr>
        <w:t>3.</w:t>
      </w:r>
      <w:r w:rsidR="001C59BD" w:rsidRPr="001C59BD">
        <w:rPr>
          <w:sz w:val="21"/>
        </w:rPr>
        <w:t xml:space="preserve"> </w:t>
      </w:r>
      <w:r w:rsidRPr="001C59BD">
        <w:rPr>
          <w:sz w:val="21"/>
        </w:rPr>
        <w:t xml:space="preserve">Dobin, A. </w:t>
      </w:r>
      <w:r w:rsidRPr="001C59BD">
        <w:rPr>
          <w:i/>
          <w:iCs/>
          <w:sz w:val="21"/>
        </w:rPr>
        <w:t>et al.</w:t>
      </w:r>
      <w:r w:rsidRPr="001C59BD">
        <w:rPr>
          <w:sz w:val="21"/>
        </w:rPr>
        <w:t xml:space="preserve"> STAR: ultrafast universal RNA-seq aligner. </w:t>
      </w:r>
      <w:r w:rsidRPr="001C59BD">
        <w:rPr>
          <w:i/>
          <w:iCs/>
          <w:sz w:val="21"/>
        </w:rPr>
        <w:t>Bioinforma. Oxf. Engl.</w:t>
      </w:r>
      <w:r w:rsidRPr="001C59BD">
        <w:rPr>
          <w:sz w:val="21"/>
        </w:rPr>
        <w:t xml:space="preserve"> </w:t>
      </w:r>
      <w:r w:rsidRPr="001C59BD">
        <w:rPr>
          <w:b/>
          <w:bCs/>
          <w:sz w:val="21"/>
        </w:rPr>
        <w:t>29</w:t>
      </w:r>
      <w:r w:rsidRPr="001C59BD">
        <w:rPr>
          <w:sz w:val="21"/>
        </w:rPr>
        <w:t>, 15–21 (2013).</w:t>
      </w:r>
    </w:p>
    <w:p w14:paraId="31430903" w14:textId="1CAEB4C3" w:rsidR="009B5055" w:rsidRPr="001C59BD" w:rsidRDefault="009B5055" w:rsidP="009B5055">
      <w:pPr>
        <w:widowControl w:val="0"/>
        <w:autoSpaceDE w:val="0"/>
        <w:autoSpaceDN w:val="0"/>
        <w:adjustRightInd w:val="0"/>
        <w:rPr>
          <w:sz w:val="21"/>
        </w:rPr>
      </w:pPr>
      <w:r w:rsidRPr="001C59BD">
        <w:rPr>
          <w:sz w:val="21"/>
        </w:rPr>
        <w:lastRenderedPageBreak/>
        <w:t>4.</w:t>
      </w:r>
      <w:r w:rsidR="001C59BD" w:rsidRPr="001C59BD">
        <w:rPr>
          <w:sz w:val="21"/>
        </w:rPr>
        <w:t xml:space="preserve"> </w:t>
      </w:r>
      <w:r w:rsidRPr="001C59BD">
        <w:rPr>
          <w:sz w:val="21"/>
        </w:rPr>
        <w:t xml:space="preserve">Wang, L., Wang, S. &amp; Li, W. RSeQC: quality control of RNA-seq experiments. </w:t>
      </w:r>
      <w:r w:rsidRPr="001C59BD">
        <w:rPr>
          <w:i/>
          <w:iCs/>
          <w:sz w:val="21"/>
        </w:rPr>
        <w:t>Bioinforma. Oxf. Engl.</w:t>
      </w:r>
      <w:r w:rsidRPr="001C59BD">
        <w:rPr>
          <w:sz w:val="21"/>
        </w:rPr>
        <w:t xml:space="preserve"> </w:t>
      </w:r>
      <w:r w:rsidRPr="001C59BD">
        <w:rPr>
          <w:b/>
          <w:bCs/>
          <w:sz w:val="21"/>
        </w:rPr>
        <w:t>28</w:t>
      </w:r>
      <w:r w:rsidRPr="001C59BD">
        <w:rPr>
          <w:sz w:val="21"/>
        </w:rPr>
        <w:t>, 2184–2185 (2012).</w:t>
      </w:r>
    </w:p>
    <w:p w14:paraId="73BD8D0E" w14:textId="0064EE57" w:rsidR="009B5055" w:rsidRPr="001C59BD" w:rsidRDefault="009B5055" w:rsidP="009B5055">
      <w:pPr>
        <w:widowControl w:val="0"/>
        <w:autoSpaceDE w:val="0"/>
        <w:autoSpaceDN w:val="0"/>
        <w:adjustRightInd w:val="0"/>
        <w:rPr>
          <w:sz w:val="21"/>
        </w:rPr>
      </w:pPr>
      <w:r w:rsidRPr="001C59BD">
        <w:rPr>
          <w:sz w:val="21"/>
        </w:rPr>
        <w:t>5.</w:t>
      </w:r>
      <w:r w:rsidR="001C59BD" w:rsidRPr="001C59BD">
        <w:rPr>
          <w:sz w:val="21"/>
        </w:rPr>
        <w:t xml:space="preserve"> </w:t>
      </w:r>
      <w:r w:rsidRPr="001C59BD">
        <w:rPr>
          <w:sz w:val="21"/>
        </w:rPr>
        <w:t xml:space="preserve">Liao, Y., Smyth, G. K. &amp; Shi, W. featureCounts: an efficient general purpose program for assigning sequence reads to genomic features. </w:t>
      </w:r>
      <w:r w:rsidRPr="001C59BD">
        <w:rPr>
          <w:i/>
          <w:iCs/>
          <w:sz w:val="21"/>
        </w:rPr>
        <w:t>Bioinforma. Oxf. Engl.</w:t>
      </w:r>
      <w:r w:rsidRPr="001C59BD">
        <w:rPr>
          <w:sz w:val="21"/>
        </w:rPr>
        <w:t xml:space="preserve"> </w:t>
      </w:r>
      <w:r w:rsidRPr="001C59BD">
        <w:rPr>
          <w:b/>
          <w:bCs/>
          <w:sz w:val="21"/>
        </w:rPr>
        <w:t>30</w:t>
      </w:r>
      <w:r w:rsidRPr="001C59BD">
        <w:rPr>
          <w:sz w:val="21"/>
        </w:rPr>
        <w:t>, 923–930 (2014).</w:t>
      </w:r>
    </w:p>
    <w:p w14:paraId="49D9518A" w14:textId="2AEAF89D" w:rsidR="009B5055" w:rsidRPr="001C59BD" w:rsidRDefault="009B5055" w:rsidP="009B5055">
      <w:pPr>
        <w:widowControl w:val="0"/>
        <w:autoSpaceDE w:val="0"/>
        <w:autoSpaceDN w:val="0"/>
        <w:adjustRightInd w:val="0"/>
        <w:rPr>
          <w:sz w:val="21"/>
        </w:rPr>
      </w:pPr>
      <w:r w:rsidRPr="001C59BD">
        <w:rPr>
          <w:sz w:val="21"/>
        </w:rPr>
        <w:t>6.</w:t>
      </w:r>
      <w:r w:rsidR="001C59BD" w:rsidRPr="001C59BD">
        <w:rPr>
          <w:sz w:val="21"/>
        </w:rPr>
        <w:t xml:space="preserve"> </w:t>
      </w:r>
      <w:r w:rsidRPr="001C59BD">
        <w:rPr>
          <w:sz w:val="21"/>
        </w:rPr>
        <w:t xml:space="preserve">Hakimi, A. A. </w:t>
      </w:r>
      <w:r w:rsidRPr="001C59BD">
        <w:rPr>
          <w:i/>
          <w:iCs/>
          <w:sz w:val="21"/>
        </w:rPr>
        <w:t>et al.</w:t>
      </w:r>
      <w:r w:rsidRPr="001C59BD">
        <w:rPr>
          <w:sz w:val="21"/>
        </w:rPr>
        <w:t xml:space="preserve"> An Integrated Metabolic Atlas of Clear Cell Renal Cell Carcinoma. </w:t>
      </w:r>
      <w:r w:rsidRPr="001C59BD">
        <w:rPr>
          <w:i/>
          <w:iCs/>
          <w:sz w:val="21"/>
        </w:rPr>
        <w:t>Cancer Cell</w:t>
      </w:r>
      <w:r w:rsidRPr="001C59BD">
        <w:rPr>
          <w:sz w:val="21"/>
        </w:rPr>
        <w:t xml:space="preserve"> </w:t>
      </w:r>
      <w:r w:rsidRPr="001C59BD">
        <w:rPr>
          <w:b/>
          <w:bCs/>
          <w:sz w:val="21"/>
        </w:rPr>
        <w:t>29</w:t>
      </w:r>
      <w:r w:rsidRPr="001C59BD">
        <w:rPr>
          <w:sz w:val="21"/>
        </w:rPr>
        <w:t>, 104–116 (2016).</w:t>
      </w:r>
    </w:p>
    <w:p w14:paraId="3119F3ED" w14:textId="4593BFC8" w:rsidR="009B5055" w:rsidRPr="001C59BD" w:rsidRDefault="009B5055" w:rsidP="009B5055">
      <w:pPr>
        <w:widowControl w:val="0"/>
        <w:autoSpaceDE w:val="0"/>
        <w:autoSpaceDN w:val="0"/>
        <w:adjustRightInd w:val="0"/>
        <w:rPr>
          <w:sz w:val="21"/>
        </w:rPr>
      </w:pPr>
      <w:r w:rsidRPr="001C59BD">
        <w:rPr>
          <w:sz w:val="21"/>
        </w:rPr>
        <w:t>7.</w:t>
      </w:r>
      <w:r w:rsidR="001C59BD" w:rsidRPr="001C59BD">
        <w:rPr>
          <w:sz w:val="21"/>
        </w:rPr>
        <w:t xml:space="preserve"> </w:t>
      </w:r>
      <w:r w:rsidRPr="001C59BD">
        <w:rPr>
          <w:sz w:val="21"/>
        </w:rPr>
        <w:t xml:space="preserve">Yu, G., Wang, L.-G., Han, Y. &amp; He, Q.-Y. clusterProfiler: an R Package for Comparing Biological Themes Among Gene Clusters. </w:t>
      </w:r>
      <w:r w:rsidRPr="001C59BD">
        <w:rPr>
          <w:i/>
          <w:iCs/>
          <w:sz w:val="21"/>
        </w:rPr>
        <w:t>OMICS J. Integr. Biol.</w:t>
      </w:r>
      <w:r w:rsidRPr="001C59BD">
        <w:rPr>
          <w:sz w:val="21"/>
        </w:rPr>
        <w:t xml:space="preserve"> </w:t>
      </w:r>
      <w:r w:rsidRPr="001C59BD">
        <w:rPr>
          <w:b/>
          <w:bCs/>
          <w:sz w:val="21"/>
        </w:rPr>
        <w:t>16</w:t>
      </w:r>
      <w:r w:rsidRPr="001C59BD">
        <w:rPr>
          <w:sz w:val="21"/>
        </w:rPr>
        <w:t>, 284–287 (2012).</w:t>
      </w:r>
    </w:p>
    <w:p w14:paraId="4BAF87F0" w14:textId="0B739F8D" w:rsidR="009B5055" w:rsidRPr="001C59BD" w:rsidRDefault="009B5055" w:rsidP="009B5055">
      <w:pPr>
        <w:widowControl w:val="0"/>
        <w:autoSpaceDE w:val="0"/>
        <w:autoSpaceDN w:val="0"/>
        <w:adjustRightInd w:val="0"/>
        <w:rPr>
          <w:sz w:val="21"/>
        </w:rPr>
      </w:pPr>
      <w:r w:rsidRPr="001C59BD">
        <w:rPr>
          <w:sz w:val="21"/>
        </w:rPr>
        <w:t>8.</w:t>
      </w:r>
      <w:r w:rsidR="001C59BD" w:rsidRPr="001C59BD">
        <w:rPr>
          <w:sz w:val="21"/>
        </w:rPr>
        <w:t xml:space="preserve"> </w:t>
      </w:r>
      <w:r w:rsidRPr="001C59BD">
        <w:rPr>
          <w:sz w:val="21"/>
        </w:rPr>
        <w:t xml:space="preserve">Millard, P., Letisse, F., Sokol, S. &amp; Portais, J.-C. IsoCor: correcting MS data in isotope labeling experiments. </w:t>
      </w:r>
      <w:r w:rsidRPr="001C59BD">
        <w:rPr>
          <w:i/>
          <w:iCs/>
          <w:sz w:val="21"/>
        </w:rPr>
        <w:t>Bioinforma. Oxf. Engl.</w:t>
      </w:r>
      <w:r w:rsidRPr="001C59BD">
        <w:rPr>
          <w:sz w:val="21"/>
        </w:rPr>
        <w:t xml:space="preserve"> </w:t>
      </w:r>
      <w:r w:rsidRPr="001C59BD">
        <w:rPr>
          <w:b/>
          <w:bCs/>
          <w:sz w:val="21"/>
        </w:rPr>
        <w:t>28</w:t>
      </w:r>
      <w:r w:rsidRPr="001C59BD">
        <w:rPr>
          <w:sz w:val="21"/>
        </w:rPr>
        <w:t>, 1294–1296 (2012).</w:t>
      </w:r>
    </w:p>
    <w:p w14:paraId="0B1929BD" w14:textId="04A3A246" w:rsidR="0074442A" w:rsidRPr="0074442A" w:rsidRDefault="0074442A" w:rsidP="00140F71">
      <w:pPr>
        <w:pStyle w:val="Paragraphedeliste"/>
        <w:spacing w:before="120" w:after="120"/>
        <w:ind w:left="0" w:right="-23"/>
        <w:contextualSpacing w:val="0"/>
        <w:rPr>
          <w:b/>
          <w:sz w:val="24"/>
          <w:u w:val="single"/>
        </w:rPr>
      </w:pPr>
      <w:r w:rsidRPr="001C59BD">
        <w:rPr>
          <w:sz w:val="21"/>
        </w:rPr>
        <w:fldChar w:fldCharType="end"/>
      </w:r>
    </w:p>
    <w:sectPr w:rsidR="0074442A" w:rsidRPr="0074442A" w:rsidSect="00F228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5301"/>
    <w:multiLevelType w:val="hybridMultilevel"/>
    <w:tmpl w:val="651406FC"/>
    <w:lvl w:ilvl="0" w:tplc="3D9AA690">
      <w:start w:val="1"/>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C1CC0"/>
    <w:multiLevelType w:val="hybridMultilevel"/>
    <w:tmpl w:val="7DC09600"/>
    <w:lvl w:ilvl="0" w:tplc="41F0284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D4041"/>
    <w:multiLevelType w:val="hybridMultilevel"/>
    <w:tmpl w:val="9E84B314"/>
    <w:lvl w:ilvl="0" w:tplc="B6A20336">
      <w:start w:val="1"/>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2548F"/>
    <w:multiLevelType w:val="hybridMultilevel"/>
    <w:tmpl w:val="34DAEB0E"/>
    <w:lvl w:ilvl="0" w:tplc="8D00DCE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EE"/>
    <w:rsid w:val="00003D42"/>
    <w:rsid w:val="0000670B"/>
    <w:rsid w:val="00022DD9"/>
    <w:rsid w:val="0003206E"/>
    <w:rsid w:val="00032A9D"/>
    <w:rsid w:val="00032EBC"/>
    <w:rsid w:val="000331E6"/>
    <w:rsid w:val="00035BFD"/>
    <w:rsid w:val="00041D60"/>
    <w:rsid w:val="00044774"/>
    <w:rsid w:val="00044CBC"/>
    <w:rsid w:val="00055A89"/>
    <w:rsid w:val="0005762F"/>
    <w:rsid w:val="00063DCD"/>
    <w:rsid w:val="00064F27"/>
    <w:rsid w:val="000664A3"/>
    <w:rsid w:val="00066B5D"/>
    <w:rsid w:val="000738D4"/>
    <w:rsid w:val="00075659"/>
    <w:rsid w:val="000814A1"/>
    <w:rsid w:val="00095E9C"/>
    <w:rsid w:val="000A2962"/>
    <w:rsid w:val="000A6533"/>
    <w:rsid w:val="000B4E20"/>
    <w:rsid w:val="000C3390"/>
    <w:rsid w:val="000C42AC"/>
    <w:rsid w:val="000C7BFB"/>
    <w:rsid w:val="000D0E68"/>
    <w:rsid w:val="000D66AE"/>
    <w:rsid w:val="000D7A6F"/>
    <w:rsid w:val="000E312C"/>
    <w:rsid w:val="000E5D2A"/>
    <w:rsid w:val="000F5244"/>
    <w:rsid w:val="00102678"/>
    <w:rsid w:val="00102E71"/>
    <w:rsid w:val="00104730"/>
    <w:rsid w:val="00114D1B"/>
    <w:rsid w:val="00126DEB"/>
    <w:rsid w:val="00140F71"/>
    <w:rsid w:val="00145FFD"/>
    <w:rsid w:val="0015231D"/>
    <w:rsid w:val="001538FE"/>
    <w:rsid w:val="001657D7"/>
    <w:rsid w:val="00170189"/>
    <w:rsid w:val="00176EAF"/>
    <w:rsid w:val="0018187A"/>
    <w:rsid w:val="0018251B"/>
    <w:rsid w:val="001872FD"/>
    <w:rsid w:val="00190F5E"/>
    <w:rsid w:val="0019292F"/>
    <w:rsid w:val="001A049B"/>
    <w:rsid w:val="001B091A"/>
    <w:rsid w:val="001B5D4D"/>
    <w:rsid w:val="001C1A01"/>
    <w:rsid w:val="001C250F"/>
    <w:rsid w:val="001C26C9"/>
    <w:rsid w:val="001C59BD"/>
    <w:rsid w:val="001D1DDC"/>
    <w:rsid w:val="001D5956"/>
    <w:rsid w:val="001D7430"/>
    <w:rsid w:val="001E13EA"/>
    <w:rsid w:val="001E548E"/>
    <w:rsid w:val="001E6354"/>
    <w:rsid w:val="001E7798"/>
    <w:rsid w:val="001F49FC"/>
    <w:rsid w:val="001F5DCD"/>
    <w:rsid w:val="0021066A"/>
    <w:rsid w:val="00213A39"/>
    <w:rsid w:val="00216670"/>
    <w:rsid w:val="002201A5"/>
    <w:rsid w:val="00226F88"/>
    <w:rsid w:val="002336B7"/>
    <w:rsid w:val="00237ED1"/>
    <w:rsid w:val="0025384E"/>
    <w:rsid w:val="00253F46"/>
    <w:rsid w:val="00255ED6"/>
    <w:rsid w:val="00256038"/>
    <w:rsid w:val="00256258"/>
    <w:rsid w:val="0025685E"/>
    <w:rsid w:val="00262962"/>
    <w:rsid w:val="00264615"/>
    <w:rsid w:val="002678D3"/>
    <w:rsid w:val="00270335"/>
    <w:rsid w:val="0027285B"/>
    <w:rsid w:val="00272FCA"/>
    <w:rsid w:val="00274D7C"/>
    <w:rsid w:val="00277889"/>
    <w:rsid w:val="00285F95"/>
    <w:rsid w:val="0028677C"/>
    <w:rsid w:val="0028730D"/>
    <w:rsid w:val="002919F3"/>
    <w:rsid w:val="00292100"/>
    <w:rsid w:val="002A49FA"/>
    <w:rsid w:val="002C198E"/>
    <w:rsid w:val="002C2CB1"/>
    <w:rsid w:val="002C563E"/>
    <w:rsid w:val="002E0BE1"/>
    <w:rsid w:val="002E68B2"/>
    <w:rsid w:val="002E7841"/>
    <w:rsid w:val="003028B9"/>
    <w:rsid w:val="00303689"/>
    <w:rsid w:val="0031232C"/>
    <w:rsid w:val="003133CC"/>
    <w:rsid w:val="003138DD"/>
    <w:rsid w:val="003210EA"/>
    <w:rsid w:val="00322324"/>
    <w:rsid w:val="003224D0"/>
    <w:rsid w:val="00330BDF"/>
    <w:rsid w:val="003409F8"/>
    <w:rsid w:val="00347765"/>
    <w:rsid w:val="00353B1E"/>
    <w:rsid w:val="00371996"/>
    <w:rsid w:val="0037418A"/>
    <w:rsid w:val="00374C0E"/>
    <w:rsid w:val="003808FF"/>
    <w:rsid w:val="00390185"/>
    <w:rsid w:val="003964CC"/>
    <w:rsid w:val="003B2297"/>
    <w:rsid w:val="003B32A5"/>
    <w:rsid w:val="003B6D51"/>
    <w:rsid w:val="003C64B5"/>
    <w:rsid w:val="003D60F3"/>
    <w:rsid w:val="003E311D"/>
    <w:rsid w:val="003E4500"/>
    <w:rsid w:val="003F0F33"/>
    <w:rsid w:val="003F1C85"/>
    <w:rsid w:val="00404AF8"/>
    <w:rsid w:val="00405D8B"/>
    <w:rsid w:val="00406814"/>
    <w:rsid w:val="00411045"/>
    <w:rsid w:val="004111A6"/>
    <w:rsid w:val="00412626"/>
    <w:rsid w:val="0041671A"/>
    <w:rsid w:val="00424BF6"/>
    <w:rsid w:val="00425893"/>
    <w:rsid w:val="00452132"/>
    <w:rsid w:val="00457F5C"/>
    <w:rsid w:val="00471AE2"/>
    <w:rsid w:val="004754D4"/>
    <w:rsid w:val="004770EA"/>
    <w:rsid w:val="00491047"/>
    <w:rsid w:val="00495EBA"/>
    <w:rsid w:val="004A2E52"/>
    <w:rsid w:val="004B0452"/>
    <w:rsid w:val="004B168E"/>
    <w:rsid w:val="004B2B44"/>
    <w:rsid w:val="004E1885"/>
    <w:rsid w:val="005060F0"/>
    <w:rsid w:val="00513C52"/>
    <w:rsid w:val="00516A08"/>
    <w:rsid w:val="005265CB"/>
    <w:rsid w:val="00527F40"/>
    <w:rsid w:val="00540B96"/>
    <w:rsid w:val="00551FB0"/>
    <w:rsid w:val="00566A89"/>
    <w:rsid w:val="005802C8"/>
    <w:rsid w:val="00581FB7"/>
    <w:rsid w:val="00593E44"/>
    <w:rsid w:val="005A3730"/>
    <w:rsid w:val="005B1254"/>
    <w:rsid w:val="005B2A50"/>
    <w:rsid w:val="005B4918"/>
    <w:rsid w:val="005C72F8"/>
    <w:rsid w:val="005D071B"/>
    <w:rsid w:val="005D1955"/>
    <w:rsid w:val="005E26B8"/>
    <w:rsid w:val="005E451A"/>
    <w:rsid w:val="006044C8"/>
    <w:rsid w:val="00620A65"/>
    <w:rsid w:val="006244C7"/>
    <w:rsid w:val="0065069C"/>
    <w:rsid w:val="00650A3B"/>
    <w:rsid w:val="00650B5E"/>
    <w:rsid w:val="00654BBC"/>
    <w:rsid w:val="00665E5D"/>
    <w:rsid w:val="00671770"/>
    <w:rsid w:val="00671DC3"/>
    <w:rsid w:val="00683E1E"/>
    <w:rsid w:val="006901A9"/>
    <w:rsid w:val="006917D8"/>
    <w:rsid w:val="006975E4"/>
    <w:rsid w:val="006A07F7"/>
    <w:rsid w:val="006A4D83"/>
    <w:rsid w:val="006C2B60"/>
    <w:rsid w:val="006C7DC0"/>
    <w:rsid w:val="006D722B"/>
    <w:rsid w:val="006E017F"/>
    <w:rsid w:val="006E42D9"/>
    <w:rsid w:val="006F26CE"/>
    <w:rsid w:val="006F36E3"/>
    <w:rsid w:val="006F54AC"/>
    <w:rsid w:val="006F7149"/>
    <w:rsid w:val="0070457A"/>
    <w:rsid w:val="00706929"/>
    <w:rsid w:val="0071040E"/>
    <w:rsid w:val="007279BA"/>
    <w:rsid w:val="00730A0B"/>
    <w:rsid w:val="00736EE3"/>
    <w:rsid w:val="0074442A"/>
    <w:rsid w:val="00745146"/>
    <w:rsid w:val="0074527D"/>
    <w:rsid w:val="00745D93"/>
    <w:rsid w:val="00745EB8"/>
    <w:rsid w:val="00752CE0"/>
    <w:rsid w:val="00764F54"/>
    <w:rsid w:val="0076592B"/>
    <w:rsid w:val="007836AA"/>
    <w:rsid w:val="00784C1A"/>
    <w:rsid w:val="00787195"/>
    <w:rsid w:val="0079440B"/>
    <w:rsid w:val="007A0187"/>
    <w:rsid w:val="007A17BE"/>
    <w:rsid w:val="007A3580"/>
    <w:rsid w:val="007B2C8A"/>
    <w:rsid w:val="007E0D2C"/>
    <w:rsid w:val="007E1DD3"/>
    <w:rsid w:val="007E3048"/>
    <w:rsid w:val="007E689F"/>
    <w:rsid w:val="0081032D"/>
    <w:rsid w:val="0081304E"/>
    <w:rsid w:val="00825E44"/>
    <w:rsid w:val="00835617"/>
    <w:rsid w:val="00841936"/>
    <w:rsid w:val="008424B0"/>
    <w:rsid w:val="00846887"/>
    <w:rsid w:val="008528CF"/>
    <w:rsid w:val="00852D46"/>
    <w:rsid w:val="00857EAC"/>
    <w:rsid w:val="00861C7B"/>
    <w:rsid w:val="00862AFF"/>
    <w:rsid w:val="00882AE5"/>
    <w:rsid w:val="0089523B"/>
    <w:rsid w:val="008A7DF5"/>
    <w:rsid w:val="008C14C1"/>
    <w:rsid w:val="008C528B"/>
    <w:rsid w:val="008C5916"/>
    <w:rsid w:val="008C7979"/>
    <w:rsid w:val="008D1CB2"/>
    <w:rsid w:val="008D549B"/>
    <w:rsid w:val="008F104E"/>
    <w:rsid w:val="008F45BC"/>
    <w:rsid w:val="0090331A"/>
    <w:rsid w:val="00904C76"/>
    <w:rsid w:val="0090550B"/>
    <w:rsid w:val="00905536"/>
    <w:rsid w:val="0091145E"/>
    <w:rsid w:val="00913C33"/>
    <w:rsid w:val="00914E15"/>
    <w:rsid w:val="00920821"/>
    <w:rsid w:val="0092173C"/>
    <w:rsid w:val="0094044B"/>
    <w:rsid w:val="009412E9"/>
    <w:rsid w:val="00941B71"/>
    <w:rsid w:val="009437E8"/>
    <w:rsid w:val="00955CD4"/>
    <w:rsid w:val="009630B8"/>
    <w:rsid w:val="00965D64"/>
    <w:rsid w:val="00970929"/>
    <w:rsid w:val="00976646"/>
    <w:rsid w:val="009810E3"/>
    <w:rsid w:val="00981D0C"/>
    <w:rsid w:val="00981D60"/>
    <w:rsid w:val="009831F6"/>
    <w:rsid w:val="00983FB7"/>
    <w:rsid w:val="00995C07"/>
    <w:rsid w:val="00996733"/>
    <w:rsid w:val="009A3392"/>
    <w:rsid w:val="009B261F"/>
    <w:rsid w:val="009B3CE7"/>
    <w:rsid w:val="009B5055"/>
    <w:rsid w:val="009B5297"/>
    <w:rsid w:val="009B78AA"/>
    <w:rsid w:val="009C4E24"/>
    <w:rsid w:val="009D170E"/>
    <w:rsid w:val="009D43A2"/>
    <w:rsid w:val="009D4EF8"/>
    <w:rsid w:val="009D7FAA"/>
    <w:rsid w:val="009E21C4"/>
    <w:rsid w:val="009F1F1D"/>
    <w:rsid w:val="009F580C"/>
    <w:rsid w:val="009F6A28"/>
    <w:rsid w:val="00A0327E"/>
    <w:rsid w:val="00A04169"/>
    <w:rsid w:val="00A044CB"/>
    <w:rsid w:val="00A04858"/>
    <w:rsid w:val="00A053AE"/>
    <w:rsid w:val="00A07CED"/>
    <w:rsid w:val="00A127FC"/>
    <w:rsid w:val="00A1692E"/>
    <w:rsid w:val="00A2177E"/>
    <w:rsid w:val="00A24761"/>
    <w:rsid w:val="00A2639D"/>
    <w:rsid w:val="00A264E4"/>
    <w:rsid w:val="00A46B66"/>
    <w:rsid w:val="00A501FD"/>
    <w:rsid w:val="00A65130"/>
    <w:rsid w:val="00A65E4E"/>
    <w:rsid w:val="00A66903"/>
    <w:rsid w:val="00A73A24"/>
    <w:rsid w:val="00A75D60"/>
    <w:rsid w:val="00A84151"/>
    <w:rsid w:val="00A84783"/>
    <w:rsid w:val="00A91881"/>
    <w:rsid w:val="00AA4FF1"/>
    <w:rsid w:val="00AA5A13"/>
    <w:rsid w:val="00AB1A0D"/>
    <w:rsid w:val="00AB5204"/>
    <w:rsid w:val="00AC4C7A"/>
    <w:rsid w:val="00AC6672"/>
    <w:rsid w:val="00AC792F"/>
    <w:rsid w:val="00AE367A"/>
    <w:rsid w:val="00AE5AC5"/>
    <w:rsid w:val="00AE6D8E"/>
    <w:rsid w:val="00AE748C"/>
    <w:rsid w:val="00AF048F"/>
    <w:rsid w:val="00AF259B"/>
    <w:rsid w:val="00AF494B"/>
    <w:rsid w:val="00B012D9"/>
    <w:rsid w:val="00B03C32"/>
    <w:rsid w:val="00B05168"/>
    <w:rsid w:val="00B07509"/>
    <w:rsid w:val="00B10789"/>
    <w:rsid w:val="00B12616"/>
    <w:rsid w:val="00B13194"/>
    <w:rsid w:val="00B17414"/>
    <w:rsid w:val="00B22981"/>
    <w:rsid w:val="00B31A8A"/>
    <w:rsid w:val="00B417B1"/>
    <w:rsid w:val="00B4369E"/>
    <w:rsid w:val="00B44CA9"/>
    <w:rsid w:val="00B452D4"/>
    <w:rsid w:val="00B465BF"/>
    <w:rsid w:val="00B467FE"/>
    <w:rsid w:val="00B4695D"/>
    <w:rsid w:val="00B53D6A"/>
    <w:rsid w:val="00B54011"/>
    <w:rsid w:val="00B57075"/>
    <w:rsid w:val="00B60276"/>
    <w:rsid w:val="00B62DA3"/>
    <w:rsid w:val="00B64350"/>
    <w:rsid w:val="00B66E6A"/>
    <w:rsid w:val="00B77BDF"/>
    <w:rsid w:val="00B77D20"/>
    <w:rsid w:val="00B803DE"/>
    <w:rsid w:val="00B91207"/>
    <w:rsid w:val="00B94C0C"/>
    <w:rsid w:val="00BA2DC6"/>
    <w:rsid w:val="00BA4683"/>
    <w:rsid w:val="00BB5E42"/>
    <w:rsid w:val="00BB6A49"/>
    <w:rsid w:val="00BB7A32"/>
    <w:rsid w:val="00BC04D8"/>
    <w:rsid w:val="00BC0FC3"/>
    <w:rsid w:val="00BC2CE5"/>
    <w:rsid w:val="00BC4FB1"/>
    <w:rsid w:val="00BD0499"/>
    <w:rsid w:val="00BD22ED"/>
    <w:rsid w:val="00BD6CA0"/>
    <w:rsid w:val="00BE22C6"/>
    <w:rsid w:val="00BE5684"/>
    <w:rsid w:val="00BE5935"/>
    <w:rsid w:val="00BF4DA4"/>
    <w:rsid w:val="00C11CC1"/>
    <w:rsid w:val="00C14B43"/>
    <w:rsid w:val="00C2405C"/>
    <w:rsid w:val="00C455EE"/>
    <w:rsid w:val="00C521BC"/>
    <w:rsid w:val="00C53F22"/>
    <w:rsid w:val="00C61C8C"/>
    <w:rsid w:val="00C66459"/>
    <w:rsid w:val="00C667A6"/>
    <w:rsid w:val="00C84334"/>
    <w:rsid w:val="00C873B1"/>
    <w:rsid w:val="00C937D9"/>
    <w:rsid w:val="00C94E2D"/>
    <w:rsid w:val="00CA2177"/>
    <w:rsid w:val="00CA6A4F"/>
    <w:rsid w:val="00CC5921"/>
    <w:rsid w:val="00CC6924"/>
    <w:rsid w:val="00CC6D2D"/>
    <w:rsid w:val="00CD5C61"/>
    <w:rsid w:val="00CF6C77"/>
    <w:rsid w:val="00D16B0C"/>
    <w:rsid w:val="00D240A1"/>
    <w:rsid w:val="00D24B56"/>
    <w:rsid w:val="00D260EC"/>
    <w:rsid w:val="00D3478B"/>
    <w:rsid w:val="00D36D7B"/>
    <w:rsid w:val="00D4190A"/>
    <w:rsid w:val="00D469F1"/>
    <w:rsid w:val="00D51DAE"/>
    <w:rsid w:val="00D608C4"/>
    <w:rsid w:val="00D60E3F"/>
    <w:rsid w:val="00D614B1"/>
    <w:rsid w:val="00D64C90"/>
    <w:rsid w:val="00D67747"/>
    <w:rsid w:val="00D968F9"/>
    <w:rsid w:val="00D97B37"/>
    <w:rsid w:val="00DA5940"/>
    <w:rsid w:val="00DB3159"/>
    <w:rsid w:val="00DC012B"/>
    <w:rsid w:val="00DC24AD"/>
    <w:rsid w:val="00DC5E03"/>
    <w:rsid w:val="00DC7192"/>
    <w:rsid w:val="00DD0EDA"/>
    <w:rsid w:val="00DD1437"/>
    <w:rsid w:val="00DD7154"/>
    <w:rsid w:val="00DE52EE"/>
    <w:rsid w:val="00E02C16"/>
    <w:rsid w:val="00E109CD"/>
    <w:rsid w:val="00E23C84"/>
    <w:rsid w:val="00E23D68"/>
    <w:rsid w:val="00E2680B"/>
    <w:rsid w:val="00E3378B"/>
    <w:rsid w:val="00E4551F"/>
    <w:rsid w:val="00E54D2A"/>
    <w:rsid w:val="00E565B8"/>
    <w:rsid w:val="00E57354"/>
    <w:rsid w:val="00E60D1B"/>
    <w:rsid w:val="00E65B4E"/>
    <w:rsid w:val="00E67A71"/>
    <w:rsid w:val="00E71A2D"/>
    <w:rsid w:val="00E85ACF"/>
    <w:rsid w:val="00E94E7A"/>
    <w:rsid w:val="00E9683B"/>
    <w:rsid w:val="00E96D34"/>
    <w:rsid w:val="00EA4894"/>
    <w:rsid w:val="00EC165B"/>
    <w:rsid w:val="00EE26E3"/>
    <w:rsid w:val="00EE6C9D"/>
    <w:rsid w:val="00F17AB5"/>
    <w:rsid w:val="00F227E4"/>
    <w:rsid w:val="00F22857"/>
    <w:rsid w:val="00F263FA"/>
    <w:rsid w:val="00F266EA"/>
    <w:rsid w:val="00F32DBF"/>
    <w:rsid w:val="00F33365"/>
    <w:rsid w:val="00F3496A"/>
    <w:rsid w:val="00F36A4E"/>
    <w:rsid w:val="00F42FCC"/>
    <w:rsid w:val="00F44180"/>
    <w:rsid w:val="00F53384"/>
    <w:rsid w:val="00F5501E"/>
    <w:rsid w:val="00F5644D"/>
    <w:rsid w:val="00F66667"/>
    <w:rsid w:val="00F66CFE"/>
    <w:rsid w:val="00F67B35"/>
    <w:rsid w:val="00F67DF1"/>
    <w:rsid w:val="00F704FF"/>
    <w:rsid w:val="00F70CE9"/>
    <w:rsid w:val="00F7785A"/>
    <w:rsid w:val="00F8377A"/>
    <w:rsid w:val="00F85851"/>
    <w:rsid w:val="00F858CD"/>
    <w:rsid w:val="00F9016F"/>
    <w:rsid w:val="00F91A76"/>
    <w:rsid w:val="00F936D6"/>
    <w:rsid w:val="00F938F5"/>
    <w:rsid w:val="00F96B37"/>
    <w:rsid w:val="00FA1AF6"/>
    <w:rsid w:val="00FB3641"/>
    <w:rsid w:val="00FB37EE"/>
    <w:rsid w:val="00FC01B9"/>
    <w:rsid w:val="00FC01C4"/>
    <w:rsid w:val="00FC513C"/>
    <w:rsid w:val="00FC5A18"/>
    <w:rsid w:val="00FD06A5"/>
    <w:rsid w:val="00FD76B7"/>
    <w:rsid w:val="00FE02D4"/>
    <w:rsid w:val="00FF0D09"/>
    <w:rsid w:val="00FF5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0BAC"/>
  <w15:docId w15:val="{13DFA6D0-14BF-414A-B166-5E28AAFF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EE"/>
    <w:pPr>
      <w:tabs>
        <w:tab w:val="left" w:pos="7240"/>
      </w:tabs>
      <w:spacing w:line="480" w:lineRule="auto"/>
      <w:jc w:val="both"/>
    </w:pPr>
    <w:rPr>
      <w:rFonts w:ascii="Times New Roman" w:eastAsiaTheme="minorEastAsia" w:hAnsi="Times New Roman" w:cs="Times New Roman"/>
      <w:sz w:val="22"/>
      <w:szCs w:val="22"/>
      <w:lang w:val="en-US"/>
    </w:rPr>
  </w:style>
  <w:style w:type="paragraph" w:styleId="Titre1">
    <w:name w:val="heading 1"/>
    <w:basedOn w:val="Normal"/>
    <w:next w:val="Normal"/>
    <w:link w:val="Titre1Car"/>
    <w:uiPriority w:val="9"/>
    <w:qFormat/>
    <w:rsid w:val="00AE36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032A9D"/>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B37EE"/>
    <w:rPr>
      <w:i/>
      <w:iCs/>
    </w:rPr>
  </w:style>
  <w:style w:type="paragraph" w:styleId="Paragraphedeliste">
    <w:name w:val="List Paragraph"/>
    <w:basedOn w:val="Normal"/>
    <w:link w:val="ParagraphedelisteCar"/>
    <w:uiPriority w:val="34"/>
    <w:qFormat/>
    <w:rsid w:val="00FB37EE"/>
    <w:pPr>
      <w:ind w:left="720"/>
      <w:contextualSpacing/>
    </w:pPr>
  </w:style>
  <w:style w:type="character" w:customStyle="1" w:styleId="highlight">
    <w:name w:val="highlight"/>
    <w:basedOn w:val="Policepardfaut"/>
    <w:rsid w:val="00FB37EE"/>
  </w:style>
  <w:style w:type="paragraph" w:styleId="Textedebulles">
    <w:name w:val="Balloon Text"/>
    <w:basedOn w:val="Normal"/>
    <w:link w:val="TextedebullesCar"/>
    <w:uiPriority w:val="99"/>
    <w:semiHidden/>
    <w:unhideWhenUsed/>
    <w:rsid w:val="00FB37EE"/>
    <w:pPr>
      <w:spacing w:line="240" w:lineRule="auto"/>
    </w:pPr>
    <w:rPr>
      <w:sz w:val="18"/>
      <w:szCs w:val="18"/>
    </w:rPr>
  </w:style>
  <w:style w:type="character" w:customStyle="1" w:styleId="TextedebullesCar">
    <w:name w:val="Texte de bulles Car"/>
    <w:basedOn w:val="Policepardfaut"/>
    <w:link w:val="Textedebulles"/>
    <w:uiPriority w:val="99"/>
    <w:semiHidden/>
    <w:rsid w:val="00FB37EE"/>
    <w:rPr>
      <w:rFonts w:ascii="Times New Roman" w:eastAsiaTheme="minorEastAsia" w:hAnsi="Times New Roman" w:cs="Times New Roman"/>
      <w:sz w:val="18"/>
      <w:szCs w:val="18"/>
      <w:lang w:val="en-US"/>
    </w:rPr>
  </w:style>
  <w:style w:type="character" w:customStyle="1" w:styleId="Titre3Car">
    <w:name w:val="Titre 3 Car"/>
    <w:basedOn w:val="Policepardfaut"/>
    <w:link w:val="Titre3"/>
    <w:uiPriority w:val="9"/>
    <w:rsid w:val="00032A9D"/>
    <w:rPr>
      <w:rFonts w:asciiTheme="majorHAnsi" w:eastAsiaTheme="majorEastAsia" w:hAnsiTheme="majorHAnsi" w:cstheme="majorBidi"/>
      <w:b/>
      <w:bCs/>
      <w:color w:val="4472C4" w:themeColor="accent1"/>
      <w:sz w:val="22"/>
      <w:szCs w:val="22"/>
      <w:lang w:val="en-US"/>
    </w:rPr>
  </w:style>
  <w:style w:type="character" w:styleId="Lienhypertexte">
    <w:name w:val="Hyperlink"/>
    <w:basedOn w:val="Policepardfaut"/>
    <w:uiPriority w:val="99"/>
    <w:unhideWhenUsed/>
    <w:rsid w:val="0028730D"/>
    <w:rPr>
      <w:color w:val="0563C1" w:themeColor="hyperlink"/>
      <w:u w:val="single"/>
    </w:rPr>
  </w:style>
  <w:style w:type="table" w:styleId="Grilledutableau">
    <w:name w:val="Table Grid"/>
    <w:basedOn w:val="TableauNormal"/>
    <w:uiPriority w:val="39"/>
    <w:rsid w:val="00CC6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414"/>
    <w:pPr>
      <w:autoSpaceDE w:val="0"/>
      <w:autoSpaceDN w:val="0"/>
      <w:adjustRightInd w:val="0"/>
    </w:pPr>
    <w:rPr>
      <w:rFonts w:ascii="Calibri" w:hAnsi="Calibri" w:cs="Calibri"/>
      <w:color w:val="000000"/>
    </w:rPr>
  </w:style>
  <w:style w:type="character" w:styleId="Marquedecommentaire">
    <w:name w:val="annotation reference"/>
    <w:basedOn w:val="Policepardfaut"/>
    <w:uiPriority w:val="99"/>
    <w:semiHidden/>
    <w:unhideWhenUsed/>
    <w:rsid w:val="00374C0E"/>
    <w:rPr>
      <w:sz w:val="16"/>
      <w:szCs w:val="16"/>
    </w:rPr>
  </w:style>
  <w:style w:type="paragraph" w:styleId="Commentaire">
    <w:name w:val="annotation text"/>
    <w:basedOn w:val="Normal"/>
    <w:link w:val="CommentaireCar"/>
    <w:uiPriority w:val="99"/>
    <w:semiHidden/>
    <w:unhideWhenUsed/>
    <w:rsid w:val="00374C0E"/>
    <w:pPr>
      <w:spacing w:line="240" w:lineRule="auto"/>
    </w:pPr>
    <w:rPr>
      <w:sz w:val="20"/>
      <w:szCs w:val="20"/>
    </w:rPr>
  </w:style>
  <w:style w:type="character" w:customStyle="1" w:styleId="CommentaireCar">
    <w:name w:val="Commentaire Car"/>
    <w:basedOn w:val="Policepardfaut"/>
    <w:link w:val="Commentaire"/>
    <w:uiPriority w:val="99"/>
    <w:semiHidden/>
    <w:rsid w:val="00374C0E"/>
    <w:rPr>
      <w:rFonts w:ascii="Times New Roman" w:eastAsiaTheme="minorEastAsia"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74C0E"/>
    <w:rPr>
      <w:b/>
      <w:bCs/>
    </w:rPr>
  </w:style>
  <w:style w:type="character" w:customStyle="1" w:styleId="ObjetducommentaireCar">
    <w:name w:val="Objet du commentaire Car"/>
    <w:basedOn w:val="CommentaireCar"/>
    <w:link w:val="Objetducommentaire"/>
    <w:uiPriority w:val="99"/>
    <w:semiHidden/>
    <w:rsid w:val="00374C0E"/>
    <w:rPr>
      <w:rFonts w:ascii="Times New Roman" w:eastAsiaTheme="minorEastAsia" w:hAnsi="Times New Roman" w:cs="Times New Roman"/>
      <w:b/>
      <w:bCs/>
      <w:sz w:val="20"/>
      <w:szCs w:val="20"/>
      <w:lang w:val="en-US"/>
    </w:rPr>
  </w:style>
  <w:style w:type="character" w:customStyle="1" w:styleId="st">
    <w:name w:val="st"/>
    <w:rsid w:val="002919F3"/>
    <w:rPr>
      <w:rFonts w:cs="Times New Roman"/>
    </w:rPr>
  </w:style>
  <w:style w:type="character" w:customStyle="1" w:styleId="Titre1Car">
    <w:name w:val="Titre 1 Car"/>
    <w:basedOn w:val="Policepardfaut"/>
    <w:link w:val="Titre1"/>
    <w:uiPriority w:val="9"/>
    <w:rsid w:val="00AE367A"/>
    <w:rPr>
      <w:rFonts w:asciiTheme="majorHAnsi" w:eastAsiaTheme="majorEastAsia" w:hAnsiTheme="majorHAnsi" w:cstheme="majorBidi"/>
      <w:color w:val="2F5496" w:themeColor="accent1" w:themeShade="BF"/>
      <w:sz w:val="32"/>
      <w:szCs w:val="32"/>
      <w:lang w:val="en-US"/>
    </w:rPr>
  </w:style>
  <w:style w:type="character" w:customStyle="1" w:styleId="object">
    <w:name w:val="object"/>
    <w:basedOn w:val="Policepardfaut"/>
    <w:rsid w:val="00A46B66"/>
  </w:style>
  <w:style w:type="paragraph" w:customStyle="1" w:styleId="Bibliographie1">
    <w:name w:val="Bibliographie1"/>
    <w:basedOn w:val="Normal"/>
    <w:link w:val="BibliographyCar"/>
    <w:rsid w:val="0074442A"/>
    <w:pPr>
      <w:tabs>
        <w:tab w:val="left" w:pos="260"/>
      </w:tabs>
      <w:spacing w:before="120"/>
      <w:ind w:left="264" w:right="-23" w:hanging="264"/>
    </w:pPr>
    <w:rPr>
      <w:b/>
      <w:u w:val="single"/>
    </w:rPr>
  </w:style>
  <w:style w:type="character" w:customStyle="1" w:styleId="ParagraphedelisteCar">
    <w:name w:val="Paragraphe de liste Car"/>
    <w:basedOn w:val="Policepardfaut"/>
    <w:link w:val="Paragraphedeliste"/>
    <w:uiPriority w:val="34"/>
    <w:rsid w:val="0074442A"/>
    <w:rPr>
      <w:rFonts w:ascii="Times New Roman" w:eastAsiaTheme="minorEastAsia" w:hAnsi="Times New Roman" w:cs="Times New Roman"/>
      <w:sz w:val="22"/>
      <w:szCs w:val="22"/>
      <w:lang w:val="en-US"/>
    </w:rPr>
  </w:style>
  <w:style w:type="character" w:customStyle="1" w:styleId="BibliographyCar">
    <w:name w:val="Bibliography Car"/>
    <w:basedOn w:val="ParagraphedelisteCar"/>
    <w:link w:val="Bibliographie1"/>
    <w:rsid w:val="0074442A"/>
    <w:rPr>
      <w:rFonts w:ascii="Times New Roman" w:eastAsiaTheme="minorEastAsia" w:hAnsi="Times New Roman" w:cs="Times New Roman"/>
      <w:b/>
      <w:sz w:val="22"/>
      <w:szCs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065">
      <w:bodyDiv w:val="1"/>
      <w:marLeft w:val="0"/>
      <w:marRight w:val="0"/>
      <w:marTop w:val="0"/>
      <w:marBottom w:val="0"/>
      <w:divBdr>
        <w:top w:val="none" w:sz="0" w:space="0" w:color="auto"/>
        <w:left w:val="none" w:sz="0" w:space="0" w:color="auto"/>
        <w:bottom w:val="none" w:sz="0" w:space="0" w:color="auto"/>
        <w:right w:val="none" w:sz="0" w:space="0" w:color="auto"/>
      </w:divBdr>
    </w:div>
    <w:div w:id="311638355">
      <w:bodyDiv w:val="1"/>
      <w:marLeft w:val="0"/>
      <w:marRight w:val="0"/>
      <w:marTop w:val="0"/>
      <w:marBottom w:val="0"/>
      <w:divBdr>
        <w:top w:val="none" w:sz="0" w:space="0" w:color="auto"/>
        <w:left w:val="none" w:sz="0" w:space="0" w:color="auto"/>
        <w:bottom w:val="none" w:sz="0" w:space="0" w:color="auto"/>
        <w:right w:val="none" w:sz="0" w:space="0" w:color="auto"/>
      </w:divBdr>
      <w:divsChild>
        <w:div w:id="108278868">
          <w:marLeft w:val="0"/>
          <w:marRight w:val="0"/>
          <w:marTop w:val="0"/>
          <w:marBottom w:val="0"/>
          <w:divBdr>
            <w:top w:val="none" w:sz="0" w:space="0" w:color="auto"/>
            <w:left w:val="none" w:sz="0" w:space="0" w:color="auto"/>
            <w:bottom w:val="none" w:sz="0" w:space="0" w:color="auto"/>
            <w:right w:val="none" w:sz="0" w:space="0" w:color="auto"/>
          </w:divBdr>
        </w:div>
        <w:div w:id="228535376">
          <w:marLeft w:val="0"/>
          <w:marRight w:val="0"/>
          <w:marTop w:val="0"/>
          <w:marBottom w:val="0"/>
          <w:divBdr>
            <w:top w:val="none" w:sz="0" w:space="0" w:color="auto"/>
            <w:left w:val="none" w:sz="0" w:space="0" w:color="auto"/>
            <w:bottom w:val="none" w:sz="0" w:space="0" w:color="auto"/>
            <w:right w:val="none" w:sz="0" w:space="0" w:color="auto"/>
          </w:divBdr>
        </w:div>
      </w:divsChild>
    </w:div>
    <w:div w:id="1250195353">
      <w:bodyDiv w:val="1"/>
      <w:marLeft w:val="0"/>
      <w:marRight w:val="0"/>
      <w:marTop w:val="0"/>
      <w:marBottom w:val="0"/>
      <w:divBdr>
        <w:top w:val="none" w:sz="0" w:space="0" w:color="auto"/>
        <w:left w:val="none" w:sz="0" w:space="0" w:color="auto"/>
        <w:bottom w:val="none" w:sz="0" w:space="0" w:color="auto"/>
        <w:right w:val="none" w:sz="0" w:space="0" w:color="auto"/>
      </w:divBdr>
    </w:div>
    <w:div w:id="1571622952">
      <w:bodyDiv w:val="1"/>
      <w:marLeft w:val="0"/>
      <w:marRight w:val="0"/>
      <w:marTop w:val="0"/>
      <w:marBottom w:val="0"/>
      <w:divBdr>
        <w:top w:val="none" w:sz="0" w:space="0" w:color="auto"/>
        <w:left w:val="none" w:sz="0" w:space="0" w:color="auto"/>
        <w:bottom w:val="none" w:sz="0" w:space="0" w:color="auto"/>
        <w:right w:val="none" w:sz="0" w:space="0" w:color="auto"/>
      </w:divBdr>
    </w:div>
    <w:div w:id="1773083394">
      <w:bodyDiv w:val="1"/>
      <w:marLeft w:val="0"/>
      <w:marRight w:val="0"/>
      <w:marTop w:val="0"/>
      <w:marBottom w:val="0"/>
      <w:divBdr>
        <w:top w:val="none" w:sz="0" w:space="0" w:color="auto"/>
        <w:left w:val="none" w:sz="0" w:space="0" w:color="auto"/>
        <w:bottom w:val="none" w:sz="0" w:space="0" w:color="auto"/>
        <w:right w:val="none" w:sz="0" w:space="0" w:color="auto"/>
      </w:divBdr>
    </w:div>
    <w:div w:id="1843274003">
      <w:bodyDiv w:val="1"/>
      <w:marLeft w:val="0"/>
      <w:marRight w:val="0"/>
      <w:marTop w:val="0"/>
      <w:marBottom w:val="0"/>
      <w:divBdr>
        <w:top w:val="none" w:sz="0" w:space="0" w:color="auto"/>
        <w:left w:val="none" w:sz="0" w:space="0" w:color="auto"/>
        <w:bottom w:val="none" w:sz="0" w:space="0" w:color="auto"/>
        <w:right w:val="none" w:sz="0" w:space="0" w:color="auto"/>
      </w:divBdr>
    </w:div>
    <w:div w:id="20282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ioblastoma.alleninstitute.org/rnaseq/search/index.html" TargetMode="External"/><Relationship Id="rId5" Type="http://schemas.openxmlformats.org/officeDocument/2006/relationships/hyperlink" Target="https://xenabrowser.net/datapag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6071</Words>
  <Characters>33393</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Thomas_Daubon</cp:lastModifiedBy>
  <cp:revision>3</cp:revision>
  <dcterms:created xsi:type="dcterms:W3CDTF">2021-07-08T15:06:00Z</dcterms:created>
  <dcterms:modified xsi:type="dcterms:W3CDTF">2021-07-08T15:06:00Z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id="ZAWUUzVz"/&gt;&lt;style id="http://www.zotero.org/styles/nature"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