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7F" w:rsidRPr="00D90A7F" w:rsidRDefault="00D90A7F" w:rsidP="00D90A7F">
      <w:pPr>
        <w:keepNext/>
        <w:keepLines/>
        <w:spacing w:before="240" w:after="0" w:line="480" w:lineRule="auto"/>
        <w:ind w:left="0" w:firstLine="0"/>
        <w:jc w:val="left"/>
        <w:outlineLvl w:val="0"/>
        <w:rPr>
          <w:rFonts w:eastAsiaTheme="majorEastAsia" w:cstheme="majorBidi"/>
          <w:b/>
          <w:color w:val="000000" w:themeColor="text1"/>
          <w:sz w:val="24"/>
          <w:szCs w:val="24"/>
        </w:rPr>
      </w:pPr>
      <w:bookmarkStart w:id="0" w:name="_Toc74306502"/>
      <w:bookmarkStart w:id="1" w:name="_Toc76933737"/>
      <w:r w:rsidRPr="00D90A7F">
        <w:rPr>
          <w:rFonts w:eastAsiaTheme="majorEastAsia" w:cstheme="majorBidi"/>
          <w:b/>
          <w:color w:val="000000" w:themeColor="text1"/>
          <w:sz w:val="24"/>
          <w:szCs w:val="24"/>
        </w:rPr>
        <w:t>Additional file 2</w:t>
      </w:r>
    </w:p>
    <w:p w:rsidR="00D90A7F" w:rsidRPr="00D90A7F" w:rsidRDefault="00D90A7F" w:rsidP="00D90A7F">
      <w:pPr>
        <w:spacing w:after="62" w:line="240" w:lineRule="auto"/>
        <w:ind w:right="-15"/>
        <w:rPr>
          <w:b/>
          <w:sz w:val="24"/>
          <w:szCs w:val="24"/>
        </w:rPr>
      </w:pPr>
    </w:p>
    <w:p w:rsidR="00147A29" w:rsidRPr="002E333D" w:rsidRDefault="00D90A7F" w:rsidP="002E333D">
      <w:pPr>
        <w:pStyle w:val="ListParagraph"/>
        <w:numPr>
          <w:ilvl w:val="0"/>
          <w:numId w:val="7"/>
        </w:numPr>
        <w:spacing w:after="62" w:line="240" w:lineRule="auto"/>
        <w:ind w:right="-15"/>
        <w:rPr>
          <w:noProof/>
          <w:sz w:val="24"/>
          <w:szCs w:val="24"/>
        </w:rPr>
      </w:pPr>
      <w:r w:rsidRPr="002E333D">
        <w:rPr>
          <w:noProof/>
          <w:sz w:val="24"/>
          <w:szCs w:val="24"/>
        </w:rPr>
        <w:t>Original full-length gel and blot images</w:t>
      </w:r>
      <w:r w:rsidR="00147A29" w:rsidRPr="002E333D">
        <w:rPr>
          <w:noProof/>
          <w:sz w:val="24"/>
          <w:szCs w:val="24"/>
        </w:rPr>
        <w:t>.</w:t>
      </w:r>
    </w:p>
    <w:p w:rsidR="00147A29" w:rsidRDefault="00147A29" w:rsidP="00D90A7F">
      <w:pPr>
        <w:spacing w:after="62" w:line="240" w:lineRule="auto"/>
        <w:ind w:right="-15"/>
        <w:rPr>
          <w:noProof/>
          <w:sz w:val="24"/>
          <w:szCs w:val="24"/>
        </w:rPr>
      </w:pPr>
    </w:p>
    <w:p w:rsidR="00D90A7F" w:rsidRDefault="00147A29" w:rsidP="00147A29">
      <w:pPr>
        <w:spacing w:after="62" w:line="480" w:lineRule="auto"/>
        <w:ind w:right="-14" w:hanging="1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Agarose gel electrophoresis was used to separate and identify DNA and </w:t>
      </w:r>
      <w:r w:rsidRPr="00D90A7F">
        <w:rPr>
          <w:iCs/>
          <w:noProof/>
          <w:color w:val="auto"/>
          <w:sz w:val="24"/>
          <w:szCs w:val="24"/>
        </w:rPr>
        <w:t>amplification products of the 16S ribosomal RNA genes</w:t>
      </w:r>
      <w:r>
        <w:rPr>
          <w:iCs/>
          <w:noProof/>
          <w:color w:val="auto"/>
          <w:sz w:val="24"/>
          <w:szCs w:val="24"/>
        </w:rPr>
        <w:t xml:space="preserve">. </w:t>
      </w:r>
    </w:p>
    <w:p w:rsidR="00D90A7F" w:rsidRDefault="00D90A7F" w:rsidP="00D90A7F">
      <w:pPr>
        <w:spacing w:after="62" w:line="240" w:lineRule="auto"/>
        <w:ind w:right="-15"/>
        <w:rPr>
          <w:noProof/>
          <w:sz w:val="24"/>
          <w:szCs w:val="24"/>
        </w:rPr>
      </w:pPr>
    </w:p>
    <w:p w:rsidR="00D90A7F" w:rsidRPr="00D90A7F" w:rsidRDefault="00D90A7F" w:rsidP="00AE3634">
      <w:pPr>
        <w:pStyle w:val="ListParagraph"/>
        <w:numPr>
          <w:ilvl w:val="0"/>
          <w:numId w:val="4"/>
        </w:numPr>
        <w:spacing w:after="62" w:line="240" w:lineRule="auto"/>
        <w:ind w:right="-15"/>
        <w:rPr>
          <w:b/>
          <w:sz w:val="24"/>
          <w:szCs w:val="24"/>
        </w:rPr>
      </w:pPr>
      <w:r w:rsidRPr="00D90A7F">
        <w:rPr>
          <w:iCs/>
          <w:color w:val="auto"/>
          <w:sz w:val="24"/>
          <w:szCs w:val="24"/>
        </w:rPr>
        <w:t>I</w:t>
      </w:r>
      <w:r w:rsidRPr="00D90A7F">
        <w:rPr>
          <w:iCs/>
          <w:color w:val="auto"/>
          <w:sz w:val="24"/>
          <w:szCs w:val="24"/>
        </w:rPr>
        <w:t xml:space="preserve">solated genomic DNA from </w:t>
      </w:r>
      <w:r w:rsidRPr="00D90A7F">
        <w:rPr>
          <w:i/>
          <w:iCs/>
          <w:color w:val="auto"/>
          <w:sz w:val="24"/>
          <w:szCs w:val="24"/>
        </w:rPr>
        <w:t>Tenebrio molitor</w:t>
      </w:r>
      <w:r w:rsidRPr="00D90A7F">
        <w:rPr>
          <w:iCs/>
          <w:color w:val="auto"/>
          <w:sz w:val="24"/>
          <w:szCs w:val="24"/>
        </w:rPr>
        <w:t>’s gut bacteria</w:t>
      </w:r>
      <w:r w:rsidRPr="00D90A7F">
        <w:rPr>
          <w:b/>
          <w:sz w:val="24"/>
          <w:szCs w:val="24"/>
        </w:rPr>
        <w:t xml:space="preserve">        </w:t>
      </w:r>
    </w:p>
    <w:bookmarkEnd w:id="0"/>
    <w:bookmarkEnd w:id="1"/>
    <w:p w:rsidR="00D90A7F" w:rsidRPr="00D90A7F" w:rsidRDefault="00D90A7F" w:rsidP="00D90A7F">
      <w:pPr>
        <w:ind w:left="0" w:firstLine="0"/>
        <w:jc w:val="left"/>
      </w:pPr>
      <w:r w:rsidRPr="00D90A7F">
        <w:t xml:space="preserve">                                                    </w:t>
      </w:r>
    </w:p>
    <w:p w:rsidR="00D90A7F" w:rsidRPr="00D90A7F" w:rsidRDefault="00D90A7F" w:rsidP="00D90A7F">
      <w:pPr>
        <w:ind w:left="0" w:firstLine="0"/>
        <w:jc w:val="left"/>
      </w:pPr>
      <w:r w:rsidRPr="00D90A7F">
        <w:rPr>
          <w:noProof/>
        </w:rPr>
        <w:drawing>
          <wp:inline distT="0" distB="0" distL="0" distR="0" wp14:anchorId="2F481414" wp14:editId="7B37038D">
            <wp:extent cx="6675120" cy="3758184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D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75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7F" w:rsidRPr="00D90A7F" w:rsidRDefault="00D90A7F" w:rsidP="00D90A7F">
      <w:pPr>
        <w:spacing w:after="62" w:line="240" w:lineRule="auto"/>
        <w:ind w:right="-15"/>
        <w:rPr>
          <w:b/>
          <w:sz w:val="24"/>
          <w:szCs w:val="24"/>
        </w:rPr>
      </w:pPr>
      <w:bookmarkStart w:id="2" w:name="_Toc74306522"/>
      <w:bookmarkStart w:id="3" w:name="_Toc76933757"/>
    </w:p>
    <w:bookmarkEnd w:id="2"/>
    <w:bookmarkEnd w:id="3"/>
    <w:p w:rsidR="00D90A7F" w:rsidRPr="00D90A7F" w:rsidRDefault="00D90A7F" w:rsidP="00D90A7F">
      <w:pPr>
        <w:spacing w:after="62" w:line="240" w:lineRule="auto"/>
        <w:ind w:left="0" w:right="-15" w:firstLine="0"/>
        <w:jc w:val="left"/>
        <w:rPr>
          <w:iCs/>
          <w:noProof/>
          <w:color w:val="auto"/>
          <w:sz w:val="24"/>
          <w:szCs w:val="24"/>
        </w:rPr>
      </w:pPr>
      <w:r w:rsidRPr="00D90A7F">
        <w:rPr>
          <w:b/>
          <w:iCs/>
          <w:color w:val="auto"/>
          <w:sz w:val="24"/>
          <w:szCs w:val="24"/>
        </w:rPr>
        <w:t>Figure 10:</w:t>
      </w:r>
      <w:r w:rsidRPr="00D90A7F">
        <w:rPr>
          <w:b/>
          <w:i/>
          <w:iCs/>
          <w:color w:val="auto"/>
          <w:sz w:val="24"/>
          <w:szCs w:val="24"/>
        </w:rPr>
        <w:t xml:space="preserve"> </w:t>
      </w:r>
      <w:r w:rsidRPr="00D90A7F">
        <w:rPr>
          <w:iCs/>
          <w:color w:val="auto"/>
          <w:sz w:val="24"/>
          <w:szCs w:val="24"/>
        </w:rPr>
        <w:t xml:space="preserve">Agarose gel electrophoresis of isolated genomic DNA from </w:t>
      </w:r>
      <w:r w:rsidRPr="00D90A7F">
        <w:rPr>
          <w:i/>
          <w:iCs/>
          <w:color w:val="auto"/>
          <w:sz w:val="24"/>
          <w:szCs w:val="24"/>
        </w:rPr>
        <w:t>Tenebrio molitor</w:t>
      </w:r>
      <w:r w:rsidRPr="00D90A7F">
        <w:rPr>
          <w:iCs/>
          <w:color w:val="auto"/>
          <w:sz w:val="24"/>
          <w:szCs w:val="24"/>
        </w:rPr>
        <w:t xml:space="preserve">’s gut bacteria ran on 0.8 % agarose gel and stained with ethidium bromide. M is 1kb Plus ladder from New England Biolabs and </w:t>
      </w:r>
      <w:r w:rsidRPr="00D90A7F">
        <w:rPr>
          <w:iCs/>
          <w:noProof/>
          <w:color w:val="auto"/>
          <w:sz w:val="24"/>
          <w:szCs w:val="24"/>
        </w:rPr>
        <w:t>Numbers 1-5 are the isolated bacterial samples.</w:t>
      </w:r>
    </w:p>
    <w:p w:rsidR="00D90A7F" w:rsidRP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Pr="00D90A7F" w:rsidRDefault="00D90A7F" w:rsidP="00D90A7F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iCs/>
          <w:noProof/>
          <w:color w:val="auto"/>
          <w:sz w:val="24"/>
          <w:szCs w:val="24"/>
        </w:rPr>
        <w:t>A</w:t>
      </w:r>
      <w:r w:rsidRPr="00D90A7F">
        <w:rPr>
          <w:iCs/>
          <w:noProof/>
          <w:color w:val="auto"/>
          <w:sz w:val="24"/>
          <w:szCs w:val="24"/>
        </w:rPr>
        <w:t>mplification products of the 16S ribosomal RNA genes from the bacterial isolates</w:t>
      </w:r>
    </w:p>
    <w:p w:rsidR="00D90A7F" w:rsidRPr="00D90A7F" w:rsidRDefault="00D90A7F" w:rsidP="00D90A7F">
      <w:pPr>
        <w:ind w:left="0" w:firstLine="0"/>
        <w:jc w:val="left"/>
        <w:rPr>
          <w:sz w:val="24"/>
          <w:szCs w:val="24"/>
        </w:rPr>
      </w:pPr>
      <w:r w:rsidRPr="00D90A7F">
        <w:rPr>
          <w:noProof/>
        </w:rPr>
        <w:drawing>
          <wp:inline distT="0" distB="0" distL="0" distR="0" wp14:anchorId="08903296" wp14:editId="1EF1496F">
            <wp:extent cx="5943600" cy="334327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7F" w:rsidRP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Pr="00D90A7F" w:rsidRDefault="00D90A7F" w:rsidP="00D90A7F">
      <w:pPr>
        <w:spacing w:after="62" w:line="240" w:lineRule="auto"/>
        <w:ind w:left="0" w:right="-15" w:firstLine="0"/>
        <w:jc w:val="left"/>
        <w:rPr>
          <w:iCs/>
          <w:noProof/>
          <w:color w:val="auto"/>
          <w:sz w:val="24"/>
          <w:szCs w:val="24"/>
        </w:rPr>
      </w:pPr>
      <w:bookmarkStart w:id="4" w:name="_Toc74306523"/>
      <w:r w:rsidRPr="00D90A7F">
        <w:rPr>
          <w:b/>
          <w:iCs/>
          <w:color w:val="auto"/>
          <w:sz w:val="24"/>
          <w:szCs w:val="24"/>
        </w:rPr>
        <w:t>Figure 11:</w:t>
      </w:r>
      <w:r w:rsidRPr="00D90A7F">
        <w:rPr>
          <w:b/>
          <w:i/>
          <w:iCs/>
          <w:color w:val="auto"/>
          <w:sz w:val="24"/>
          <w:szCs w:val="24"/>
        </w:rPr>
        <w:t xml:space="preserve"> </w:t>
      </w:r>
      <w:r w:rsidRPr="00D90A7F">
        <w:rPr>
          <w:iCs/>
          <w:noProof/>
          <w:color w:val="auto"/>
          <w:sz w:val="24"/>
          <w:szCs w:val="24"/>
        </w:rPr>
        <w:t xml:space="preserve"> Agarose gel electrophoresis showing the amplification products of the 16S ribosomal RNA genes from the bacterial isolates from the gut of </w:t>
      </w:r>
      <w:r w:rsidRPr="00D90A7F">
        <w:rPr>
          <w:i/>
          <w:iCs/>
          <w:noProof/>
          <w:color w:val="auto"/>
          <w:sz w:val="24"/>
          <w:szCs w:val="24"/>
        </w:rPr>
        <w:t>Tenebrio molitor</w:t>
      </w:r>
      <w:r w:rsidRPr="00D90A7F">
        <w:rPr>
          <w:iCs/>
          <w:noProof/>
          <w:color w:val="auto"/>
          <w:sz w:val="24"/>
          <w:szCs w:val="24"/>
        </w:rPr>
        <w:t>. The 16S rRNA gene products were viewed on 1 % agarose gel stained with ethidium bromide. M is a 50 bp ladder from Genedirex. Numbers 1 -5 are the 16S amplicons.</w:t>
      </w:r>
      <w:bookmarkEnd w:id="4"/>
    </w:p>
    <w:p w:rsidR="00D90A7F" w:rsidRPr="00D90A7F" w:rsidRDefault="00D90A7F" w:rsidP="00D90A7F">
      <w:pPr>
        <w:ind w:left="0" w:firstLine="0"/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Pr="00D90A7F" w:rsidRDefault="00D90A7F" w:rsidP="00D90A7F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After ampli</w:t>
      </w:r>
      <w:r w:rsidR="00466918">
        <w:rPr>
          <w:sz w:val="24"/>
          <w:szCs w:val="24"/>
        </w:rPr>
        <w:t>fi</w:t>
      </w:r>
      <w:r>
        <w:rPr>
          <w:sz w:val="24"/>
          <w:szCs w:val="24"/>
        </w:rPr>
        <w:t>cation using M13 primers</w:t>
      </w:r>
    </w:p>
    <w:p w:rsidR="00D90A7F" w:rsidRPr="00D90A7F" w:rsidRDefault="00D90A7F" w:rsidP="00D90A7F">
      <w:pPr>
        <w:ind w:left="0" w:firstLine="0"/>
        <w:jc w:val="center"/>
        <w:rPr>
          <w:sz w:val="24"/>
          <w:szCs w:val="24"/>
        </w:rPr>
      </w:pPr>
      <w:r w:rsidRPr="00D90A7F">
        <w:rPr>
          <w:noProof/>
        </w:rPr>
        <w:drawing>
          <wp:inline distT="0" distB="0" distL="0" distR="0" wp14:anchorId="299AEFDB" wp14:editId="37F077CE">
            <wp:extent cx="5943600" cy="334327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7F" w:rsidRDefault="00D90A7F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  <w:bookmarkStart w:id="5" w:name="_Toc74306524"/>
      <w:r w:rsidRPr="00D90A7F">
        <w:rPr>
          <w:b/>
          <w:iCs/>
          <w:color w:val="auto"/>
          <w:sz w:val="24"/>
          <w:szCs w:val="24"/>
        </w:rPr>
        <w:t>Figure 12:</w:t>
      </w:r>
      <w:r w:rsidRPr="00D90A7F">
        <w:rPr>
          <w:b/>
          <w:i/>
          <w:iCs/>
          <w:color w:val="auto"/>
          <w:sz w:val="24"/>
          <w:szCs w:val="24"/>
        </w:rPr>
        <w:t xml:space="preserve"> </w:t>
      </w:r>
      <w:r w:rsidRPr="00D90A7F">
        <w:rPr>
          <w:iCs/>
          <w:color w:val="auto"/>
          <w:sz w:val="24"/>
          <w:szCs w:val="24"/>
        </w:rPr>
        <w:t xml:space="preserve">Agarose gel electrophoresis results after the amplification of DNA from </w:t>
      </w:r>
      <w:r w:rsidRPr="00D90A7F">
        <w:rPr>
          <w:i/>
          <w:iCs/>
          <w:color w:val="auto"/>
          <w:sz w:val="24"/>
          <w:szCs w:val="24"/>
        </w:rPr>
        <w:t>Tenebrio molitor</w:t>
      </w:r>
      <w:r w:rsidRPr="00D90A7F">
        <w:rPr>
          <w:iCs/>
          <w:color w:val="auto"/>
          <w:sz w:val="24"/>
          <w:szCs w:val="24"/>
        </w:rPr>
        <w:t>’s gut isolates, using the M13 primers. M is a 1kb plus ladder from NEB.</w:t>
      </w:r>
      <w:bookmarkEnd w:id="5"/>
      <w:r w:rsidRPr="00D90A7F">
        <w:rPr>
          <w:iCs/>
          <w:color w:val="auto"/>
          <w:sz w:val="24"/>
          <w:szCs w:val="24"/>
        </w:rPr>
        <w:t xml:space="preserve"> </w:t>
      </w:r>
    </w:p>
    <w:p w:rsidR="00466918" w:rsidRDefault="00466918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466918" w:rsidRDefault="00466918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466918" w:rsidRPr="00776326" w:rsidRDefault="00466918" w:rsidP="00776326">
      <w:pPr>
        <w:pStyle w:val="ListParagraph"/>
        <w:numPr>
          <w:ilvl w:val="0"/>
          <w:numId w:val="7"/>
        </w:numPr>
        <w:spacing w:after="160" w:line="259" w:lineRule="auto"/>
        <w:ind w:right="0"/>
        <w:jc w:val="left"/>
        <w:rPr>
          <w:iCs/>
          <w:color w:val="auto"/>
          <w:sz w:val="24"/>
          <w:szCs w:val="24"/>
        </w:rPr>
      </w:pPr>
      <w:r w:rsidRPr="00776326">
        <w:rPr>
          <w:iCs/>
          <w:color w:val="auto"/>
          <w:sz w:val="24"/>
          <w:szCs w:val="24"/>
        </w:rPr>
        <w:br w:type="page"/>
      </w:r>
      <w:r w:rsidRPr="00776326">
        <w:rPr>
          <w:rFonts w:eastAsiaTheme="majorEastAsia" w:cstheme="majorBidi"/>
          <w:color w:val="000000" w:themeColor="text1"/>
          <w:sz w:val="24"/>
          <w:szCs w:val="24"/>
        </w:rPr>
        <w:lastRenderedPageBreak/>
        <w:t xml:space="preserve">Original, uncropped </w:t>
      </w:r>
      <w:r w:rsidRPr="00776326">
        <w:rPr>
          <w:iCs/>
          <w:color w:val="auto"/>
          <w:sz w:val="24"/>
          <w:szCs w:val="24"/>
        </w:rPr>
        <w:t>p</w:t>
      </w:r>
      <w:r w:rsidRPr="00776326">
        <w:rPr>
          <w:iCs/>
          <w:color w:val="auto"/>
          <w:sz w:val="24"/>
          <w:szCs w:val="24"/>
        </w:rPr>
        <w:t xml:space="preserve">hylogenetic tree </w:t>
      </w:r>
      <w:r w:rsidRPr="00776326">
        <w:rPr>
          <w:rFonts w:eastAsiaTheme="majorEastAsia" w:cstheme="majorBidi"/>
          <w:color w:val="000000" w:themeColor="text1"/>
          <w:sz w:val="24"/>
          <w:szCs w:val="24"/>
        </w:rPr>
        <w:t>images</w:t>
      </w:r>
    </w:p>
    <w:p w:rsidR="008104B3" w:rsidRPr="00D90A7F" w:rsidRDefault="008104B3" w:rsidP="008104B3">
      <w:pPr>
        <w:spacing w:line="480" w:lineRule="auto"/>
        <w:ind w:left="0" w:right="0" w:firstLine="0"/>
        <w:jc w:val="left"/>
        <w:rPr>
          <w:rFonts w:eastAsiaTheme="majorEastAsia" w:cstheme="majorBidi"/>
          <w:color w:val="000000" w:themeColor="text1"/>
          <w:sz w:val="24"/>
          <w:szCs w:val="24"/>
        </w:rPr>
      </w:pPr>
      <w:r w:rsidRPr="008104B3">
        <w:rPr>
          <w:sz w:val="24"/>
          <w:szCs w:val="24"/>
        </w:rPr>
        <w:t>The Basic</w:t>
      </w:r>
      <w:r>
        <w:rPr>
          <w:sz w:val="24"/>
          <w:szCs w:val="24"/>
        </w:rPr>
        <w:t xml:space="preserve"> </w:t>
      </w:r>
      <w:r w:rsidRPr="008104B3">
        <w:rPr>
          <w:sz w:val="24"/>
          <w:szCs w:val="24"/>
        </w:rPr>
        <w:t xml:space="preserve">Local Alignment Search Tool (BLAST) was used to </w:t>
      </w:r>
      <w:r w:rsidR="0073216B" w:rsidRPr="008104B3">
        <w:rPr>
          <w:sz w:val="24"/>
          <w:szCs w:val="24"/>
        </w:rPr>
        <w:t>analyze</w:t>
      </w:r>
      <w:r w:rsidRPr="008104B3">
        <w:rPr>
          <w:sz w:val="24"/>
          <w:szCs w:val="24"/>
        </w:rPr>
        <w:t xml:space="preserve"> the obtained sequence with</w:t>
      </w:r>
      <w:r>
        <w:rPr>
          <w:sz w:val="24"/>
          <w:szCs w:val="24"/>
        </w:rPr>
        <w:t xml:space="preserve"> </w:t>
      </w:r>
      <w:r w:rsidRPr="008104B3">
        <w:rPr>
          <w:sz w:val="24"/>
          <w:szCs w:val="24"/>
        </w:rPr>
        <w:t>organisms in the Gen Bank database for strain identification and construction of phylogenetic</w:t>
      </w:r>
      <w:r>
        <w:rPr>
          <w:sz w:val="24"/>
          <w:szCs w:val="24"/>
        </w:rPr>
        <w:t xml:space="preserve"> </w:t>
      </w:r>
      <w:r w:rsidRPr="008104B3">
        <w:rPr>
          <w:sz w:val="24"/>
          <w:szCs w:val="24"/>
        </w:rPr>
        <w:t>tree analysis</w:t>
      </w:r>
      <w:r>
        <w:rPr>
          <w:sz w:val="24"/>
          <w:szCs w:val="24"/>
        </w:rPr>
        <w:t>.</w:t>
      </w:r>
    </w:p>
    <w:p w:rsidR="00D90A7F" w:rsidRPr="00466918" w:rsidRDefault="00466918" w:rsidP="00466918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D90A7F">
        <w:rPr>
          <w:iCs/>
          <w:color w:val="auto"/>
          <w:sz w:val="24"/>
          <w:szCs w:val="24"/>
        </w:rPr>
        <w:t>Phylogenetic tree constructed from M13 RAPD-PCR</w:t>
      </w:r>
    </w:p>
    <w:p w:rsidR="00D90A7F" w:rsidRPr="00D90A7F" w:rsidRDefault="00D90A7F" w:rsidP="00D90A7F">
      <w:pPr>
        <w:ind w:left="0" w:firstLine="0"/>
        <w:jc w:val="left"/>
        <w:rPr>
          <w:sz w:val="24"/>
          <w:szCs w:val="24"/>
        </w:rPr>
      </w:pPr>
      <w:r w:rsidRPr="00D90A7F">
        <w:rPr>
          <w:noProof/>
          <w:sz w:val="24"/>
          <w:szCs w:val="24"/>
        </w:rPr>
        <w:drawing>
          <wp:inline distT="0" distB="0" distL="0" distR="0" wp14:anchorId="1F30EC1C" wp14:editId="32DEB295">
            <wp:extent cx="5888736" cy="3291840"/>
            <wp:effectExtent l="0" t="0" r="0" b="3810"/>
            <wp:docPr id="100" name="Picture 100" descr="C:\Users\pc\Pictures\Screenshots\Screenshot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Pictures\Screenshots\Screenshot (4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" t="-16" r="-664" b="-32"/>
                    <a:stretch/>
                  </pic:blipFill>
                  <pic:spPr bwMode="auto">
                    <a:xfrm>
                      <a:off x="0" y="0"/>
                      <a:ext cx="5888736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A7F" w:rsidRPr="00D90A7F" w:rsidRDefault="00D90A7F" w:rsidP="00D90A7F">
      <w:pPr>
        <w:spacing w:after="62" w:line="240" w:lineRule="auto"/>
        <w:ind w:left="436" w:right="-15" w:firstLine="0"/>
        <w:rPr>
          <w:b/>
          <w:sz w:val="24"/>
          <w:szCs w:val="24"/>
        </w:rPr>
      </w:pPr>
      <w:bookmarkStart w:id="6" w:name="_Toc76933760"/>
    </w:p>
    <w:bookmarkEnd w:id="6"/>
    <w:p w:rsidR="00D90A7F" w:rsidRDefault="00D90A7F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  <w:r w:rsidRPr="00D90A7F">
        <w:rPr>
          <w:b/>
          <w:iCs/>
          <w:color w:val="auto"/>
          <w:sz w:val="24"/>
          <w:szCs w:val="24"/>
        </w:rPr>
        <w:t>Figure 13:</w:t>
      </w:r>
      <w:r w:rsidRPr="00D90A7F">
        <w:rPr>
          <w:b/>
          <w:i/>
          <w:iCs/>
          <w:color w:val="auto"/>
          <w:sz w:val="24"/>
          <w:szCs w:val="24"/>
        </w:rPr>
        <w:t xml:space="preserve"> </w:t>
      </w:r>
      <w:r w:rsidRPr="00D90A7F">
        <w:rPr>
          <w:iCs/>
          <w:color w:val="auto"/>
          <w:sz w:val="24"/>
          <w:szCs w:val="24"/>
        </w:rPr>
        <w:t xml:space="preserve">Phylogenetic tree constructed from M13 RAPD-PCR results showing that isolates number 1, 2 and 3 are identical. </w:t>
      </w:r>
    </w:p>
    <w:p w:rsidR="008104B3" w:rsidRDefault="008104B3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8104B3" w:rsidRDefault="008104B3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8104B3" w:rsidRDefault="008104B3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8104B3" w:rsidRDefault="008104B3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8104B3" w:rsidRDefault="008104B3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8104B3" w:rsidRDefault="008104B3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8104B3" w:rsidRDefault="008104B3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8104B3" w:rsidRDefault="008104B3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8104B3" w:rsidRDefault="008104B3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776326" w:rsidRDefault="00776326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</w:p>
    <w:p w:rsidR="00776326" w:rsidRDefault="00776326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  <w:bookmarkStart w:id="7" w:name="_GoBack"/>
      <w:bookmarkEnd w:id="7"/>
    </w:p>
    <w:p w:rsidR="00466918" w:rsidRDefault="008104B3" w:rsidP="008104B3">
      <w:pPr>
        <w:pStyle w:val="ListParagraph"/>
        <w:numPr>
          <w:ilvl w:val="0"/>
          <w:numId w:val="5"/>
        </w:numPr>
        <w:spacing w:after="62" w:line="240" w:lineRule="auto"/>
        <w:ind w:right="-15"/>
        <w:jc w:val="left"/>
        <w:rPr>
          <w:iCs/>
          <w:color w:val="auto"/>
          <w:sz w:val="24"/>
          <w:szCs w:val="24"/>
        </w:rPr>
      </w:pPr>
      <w:r w:rsidRPr="00D90A7F">
        <w:rPr>
          <w:iCs/>
          <w:color w:val="auto"/>
          <w:sz w:val="24"/>
          <w:szCs w:val="24"/>
        </w:rPr>
        <w:lastRenderedPageBreak/>
        <w:t>Phylogenetic tree constructed after the 16S rRNA gene nucleotide sequencing</w:t>
      </w:r>
    </w:p>
    <w:p w:rsidR="008104B3" w:rsidRPr="008104B3" w:rsidRDefault="008104B3" w:rsidP="008104B3">
      <w:pPr>
        <w:pStyle w:val="ListParagraph"/>
        <w:spacing w:after="62" w:line="240" w:lineRule="auto"/>
        <w:ind w:right="-15" w:firstLine="0"/>
        <w:jc w:val="left"/>
        <w:rPr>
          <w:iCs/>
          <w:color w:val="auto"/>
          <w:sz w:val="24"/>
          <w:szCs w:val="24"/>
        </w:rPr>
      </w:pPr>
    </w:p>
    <w:p w:rsidR="00D90A7F" w:rsidRPr="00D90A7F" w:rsidRDefault="00D90A7F" w:rsidP="00D90A7F">
      <w:pPr>
        <w:spacing w:after="62" w:line="480" w:lineRule="auto"/>
        <w:ind w:right="-15"/>
        <w:rPr>
          <w:b/>
          <w:sz w:val="24"/>
          <w:szCs w:val="24"/>
        </w:rPr>
      </w:pPr>
      <w:r w:rsidRPr="00D90A7F">
        <w:rPr>
          <w:iCs/>
          <w:noProof/>
          <w:color w:val="auto"/>
          <w:sz w:val="24"/>
          <w:szCs w:val="24"/>
        </w:rPr>
        <w:drawing>
          <wp:inline distT="0" distB="0" distL="0" distR="0" wp14:anchorId="2475D1C0" wp14:editId="56FC8180">
            <wp:extent cx="6519672" cy="3630168"/>
            <wp:effectExtent l="0" t="0" r="0" b="8890"/>
            <wp:docPr id="103" name="Picture 103" descr="C:\Users\pc\Pictures\Screenshots\Screenshot (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Pictures\Screenshots\Screenshot (50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" t="769" r="27" b="431"/>
                    <a:stretch/>
                  </pic:blipFill>
                  <pic:spPr bwMode="auto">
                    <a:xfrm>
                      <a:off x="0" y="0"/>
                      <a:ext cx="6519672" cy="363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A7F" w:rsidRPr="00D90A7F" w:rsidRDefault="00D90A7F" w:rsidP="00D90A7F">
      <w:pPr>
        <w:spacing w:after="62" w:line="240" w:lineRule="auto"/>
        <w:ind w:left="0" w:right="-15" w:firstLine="0"/>
        <w:jc w:val="left"/>
        <w:rPr>
          <w:iCs/>
          <w:color w:val="auto"/>
          <w:sz w:val="24"/>
          <w:szCs w:val="24"/>
        </w:rPr>
      </w:pPr>
      <w:r w:rsidRPr="00D90A7F">
        <w:rPr>
          <w:b/>
          <w:iCs/>
          <w:color w:val="auto"/>
          <w:sz w:val="24"/>
          <w:szCs w:val="24"/>
        </w:rPr>
        <w:t>Figure 15:</w:t>
      </w:r>
      <w:r w:rsidRPr="00D90A7F">
        <w:rPr>
          <w:b/>
          <w:i/>
          <w:iCs/>
          <w:color w:val="auto"/>
          <w:sz w:val="24"/>
          <w:szCs w:val="24"/>
        </w:rPr>
        <w:t xml:space="preserve"> </w:t>
      </w:r>
      <w:r w:rsidRPr="00D90A7F">
        <w:rPr>
          <w:iCs/>
          <w:color w:val="auto"/>
          <w:sz w:val="24"/>
          <w:szCs w:val="24"/>
        </w:rPr>
        <w:t xml:space="preserve">Phylogenetic tree constructed after the 16S rRNA gene nucleotide sequencing. Isolates numbers 1, 2 and 3 were identified to be </w:t>
      </w:r>
      <w:r w:rsidRPr="00D90A7F">
        <w:rPr>
          <w:i/>
          <w:iCs/>
          <w:color w:val="auto"/>
          <w:sz w:val="24"/>
          <w:szCs w:val="24"/>
        </w:rPr>
        <w:t>Klebsiella oxytoca</w:t>
      </w:r>
      <w:r w:rsidRPr="00D90A7F">
        <w:rPr>
          <w:iCs/>
          <w:color w:val="auto"/>
          <w:sz w:val="24"/>
          <w:szCs w:val="24"/>
        </w:rPr>
        <w:t xml:space="preserve"> ATCC 13182, isolate number 4 was identified to be </w:t>
      </w:r>
      <w:r w:rsidRPr="00D90A7F">
        <w:rPr>
          <w:i/>
          <w:iCs/>
          <w:color w:val="auto"/>
          <w:sz w:val="24"/>
          <w:szCs w:val="24"/>
        </w:rPr>
        <w:t>Klebsiella oxytoca</w:t>
      </w:r>
      <w:r w:rsidRPr="00D90A7F">
        <w:rPr>
          <w:iCs/>
          <w:color w:val="auto"/>
          <w:sz w:val="24"/>
          <w:szCs w:val="24"/>
        </w:rPr>
        <w:t xml:space="preserve"> NBRC 102593 and isolate number 5 was identified to be </w:t>
      </w:r>
      <w:r w:rsidRPr="00D90A7F">
        <w:rPr>
          <w:i/>
          <w:iCs/>
          <w:color w:val="auto"/>
          <w:sz w:val="24"/>
          <w:szCs w:val="24"/>
        </w:rPr>
        <w:t xml:space="preserve">Klebsiella oxytoca </w:t>
      </w:r>
      <w:r w:rsidRPr="00D90A7F">
        <w:rPr>
          <w:iCs/>
          <w:color w:val="auto"/>
          <w:sz w:val="24"/>
          <w:szCs w:val="24"/>
        </w:rPr>
        <w:t>JCM 1665.</w:t>
      </w:r>
    </w:p>
    <w:p w:rsidR="00D90A7F" w:rsidRPr="00D90A7F" w:rsidRDefault="00D90A7F" w:rsidP="00D90A7F">
      <w:pPr>
        <w:ind w:left="0" w:firstLine="0"/>
        <w:jc w:val="left"/>
        <w:rPr>
          <w:sz w:val="24"/>
          <w:szCs w:val="24"/>
        </w:rPr>
      </w:pPr>
    </w:p>
    <w:p w:rsidR="00D90A7F" w:rsidRDefault="00D90A7F" w:rsidP="00C25397">
      <w:pPr>
        <w:spacing w:after="12" w:line="248" w:lineRule="auto"/>
        <w:ind w:left="234" w:right="-10" w:hanging="249"/>
        <w:jc w:val="left"/>
      </w:pPr>
    </w:p>
    <w:sectPr w:rsidR="00D9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1E6"/>
    <w:multiLevelType w:val="hybridMultilevel"/>
    <w:tmpl w:val="491C460E"/>
    <w:lvl w:ilvl="0" w:tplc="D8DABB78">
      <w:start w:val="1"/>
      <w:numFmt w:val="lowerLetter"/>
      <w:lvlText w:val="%1)"/>
      <w:lvlJc w:val="left"/>
      <w:pPr>
        <w:ind w:left="7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41D0C97"/>
    <w:multiLevelType w:val="hybridMultilevel"/>
    <w:tmpl w:val="AE28C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0A3"/>
    <w:multiLevelType w:val="hybridMultilevel"/>
    <w:tmpl w:val="71A2B414"/>
    <w:lvl w:ilvl="0" w:tplc="0BC6FBA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1CE8"/>
    <w:multiLevelType w:val="hybridMultilevel"/>
    <w:tmpl w:val="BE602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6F9E"/>
    <w:multiLevelType w:val="multilevel"/>
    <w:tmpl w:val="C1C2D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345EE7"/>
    <w:multiLevelType w:val="hybridMultilevel"/>
    <w:tmpl w:val="CF1CDB64"/>
    <w:lvl w:ilvl="0" w:tplc="C848E8E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51AB61DA"/>
    <w:multiLevelType w:val="hybridMultilevel"/>
    <w:tmpl w:val="48963498"/>
    <w:lvl w:ilvl="0" w:tplc="9BEC52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21C3B"/>
    <w:multiLevelType w:val="hybridMultilevel"/>
    <w:tmpl w:val="4B5A4FB8"/>
    <w:lvl w:ilvl="0" w:tplc="1444E6A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062BC3"/>
    <w:multiLevelType w:val="hybridMultilevel"/>
    <w:tmpl w:val="4A065A42"/>
    <w:lvl w:ilvl="0" w:tplc="7272FC8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6F4218C7"/>
    <w:multiLevelType w:val="hybridMultilevel"/>
    <w:tmpl w:val="20524D78"/>
    <w:lvl w:ilvl="0" w:tplc="54B04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91"/>
    <w:rsid w:val="000347DC"/>
    <w:rsid w:val="00065D7F"/>
    <w:rsid w:val="000E0606"/>
    <w:rsid w:val="00147A29"/>
    <w:rsid w:val="00214529"/>
    <w:rsid w:val="002E333D"/>
    <w:rsid w:val="00466918"/>
    <w:rsid w:val="004F4F6D"/>
    <w:rsid w:val="005F1DC5"/>
    <w:rsid w:val="0066787F"/>
    <w:rsid w:val="0073216B"/>
    <w:rsid w:val="00776326"/>
    <w:rsid w:val="008104B3"/>
    <w:rsid w:val="00975956"/>
    <w:rsid w:val="00A110BF"/>
    <w:rsid w:val="00AC1209"/>
    <w:rsid w:val="00AC149E"/>
    <w:rsid w:val="00B91991"/>
    <w:rsid w:val="00C25397"/>
    <w:rsid w:val="00C871F9"/>
    <w:rsid w:val="00D84166"/>
    <w:rsid w:val="00D9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7145"/>
  <w15:chartTrackingRefBased/>
  <w15:docId w15:val="{F10004BB-A84D-4A87-A238-3B9A2F6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91"/>
    <w:pPr>
      <w:spacing w:after="177" w:line="246" w:lineRule="auto"/>
      <w:ind w:left="446" w:right="2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991"/>
    <w:pPr>
      <w:keepNext/>
      <w:keepLines/>
      <w:spacing w:before="240" w:after="0" w:line="480" w:lineRule="auto"/>
      <w:ind w:left="10"/>
      <w:jc w:val="left"/>
      <w:outlineLvl w:val="0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991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9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199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91991"/>
    <w:pPr>
      <w:spacing w:after="62" w:line="480" w:lineRule="auto"/>
      <w:ind w:left="10" w:right="-15"/>
      <w:jc w:val="left"/>
    </w:pPr>
    <w:rPr>
      <w:sz w:val="24"/>
      <w:szCs w:val="24"/>
    </w:rPr>
  </w:style>
  <w:style w:type="paragraph" w:customStyle="1" w:styleId="fIGUrES">
    <w:name w:val="fIGUrES"/>
    <w:basedOn w:val="Caption"/>
    <w:next w:val="Caption"/>
    <w:qFormat/>
    <w:rsid w:val="00B91991"/>
    <w:pPr>
      <w:ind w:left="0"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 13</cp:lastModifiedBy>
  <cp:revision>3</cp:revision>
  <dcterms:created xsi:type="dcterms:W3CDTF">2021-07-19T12:56:00Z</dcterms:created>
  <dcterms:modified xsi:type="dcterms:W3CDTF">2021-07-19T12:59:00Z</dcterms:modified>
</cp:coreProperties>
</file>