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13FDE7" w14:textId="0F1EA112" w:rsidR="00AE5AE6" w:rsidRPr="00F158B9" w:rsidRDefault="00AE5AE6" w:rsidP="00F158B9">
      <w:pPr>
        <w:spacing w:after="240"/>
        <w:jc w:val="center"/>
        <w:rPr>
          <w:rFonts w:cs="Times New Roman"/>
          <w:color w:val="000000" w:themeColor="text1"/>
          <w:szCs w:val="22"/>
        </w:rPr>
      </w:pPr>
      <w:r w:rsidRPr="00F158B9">
        <w:rPr>
          <w:rFonts w:cs="Times New Roman"/>
          <w:color w:val="000000" w:themeColor="text1"/>
          <w:szCs w:val="22"/>
        </w:rPr>
        <w:t>Supplementary Figure</w:t>
      </w:r>
      <w:r w:rsidR="00F158B9" w:rsidRPr="00F158B9">
        <w:rPr>
          <w:rFonts w:cs="Times New Roman"/>
          <w:color w:val="000000" w:themeColor="text1"/>
          <w:szCs w:val="22"/>
        </w:rPr>
        <w:t>s</w:t>
      </w:r>
    </w:p>
    <w:p w14:paraId="2515E497" w14:textId="54C9D373" w:rsidR="00F158B9" w:rsidRPr="00F158B9" w:rsidRDefault="00F158B9" w:rsidP="00F158B9">
      <w:pPr>
        <w:spacing w:after="240"/>
        <w:jc w:val="center"/>
        <w:rPr>
          <w:rFonts w:cs="Times New Roman"/>
          <w:color w:val="000000" w:themeColor="text1"/>
          <w:szCs w:val="22"/>
        </w:rPr>
      </w:pPr>
      <w:r w:rsidRPr="00F158B9">
        <w:rPr>
          <w:rFonts w:cs="Times New Roman"/>
          <w:color w:val="000000" w:themeColor="text1"/>
          <w:szCs w:val="22"/>
        </w:rPr>
        <w:t>Chen et al.</w:t>
      </w:r>
    </w:p>
    <w:p w14:paraId="087EB9FB" w14:textId="77777777" w:rsidR="00F158B9" w:rsidRPr="00F158B9" w:rsidRDefault="00F158B9" w:rsidP="00F158B9">
      <w:pPr>
        <w:jc w:val="center"/>
        <w:rPr>
          <w:rFonts w:cs="Times New Roman"/>
          <w:bCs/>
          <w:color w:val="000000" w:themeColor="text1"/>
          <w:sz w:val="28"/>
          <w:szCs w:val="28"/>
        </w:rPr>
      </w:pPr>
      <w:r w:rsidRPr="00F158B9">
        <w:rPr>
          <w:rFonts w:cs="Times New Roman"/>
          <w:bCs/>
          <w:color w:val="000000" w:themeColor="text1"/>
          <w:sz w:val="28"/>
          <w:szCs w:val="28"/>
        </w:rPr>
        <w:t>Dominant drivers of the human plasma metabolome</w:t>
      </w:r>
    </w:p>
    <w:p w14:paraId="5DC1D3C5" w14:textId="763C258F" w:rsidR="00F158B9" w:rsidRDefault="00F158B9" w:rsidP="007B125B">
      <w:pPr>
        <w:spacing w:after="240" w:line="360" w:lineRule="auto"/>
        <w:jc w:val="center"/>
        <w:rPr>
          <w:rFonts w:cs="Times New Roman"/>
          <w:b/>
          <w:color w:val="000000" w:themeColor="text1"/>
          <w:szCs w:val="22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4"/>
          <w:szCs w:val="24"/>
          <w:lang w:eastAsia="zh-CN"/>
        </w:rPr>
        <w:id w:val="940337022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noProof/>
          <w:sz w:val="22"/>
        </w:rPr>
      </w:sdtEndPr>
      <w:sdtContent>
        <w:p w14:paraId="6CF208F2" w14:textId="56D74886" w:rsidR="00E13AE2" w:rsidRPr="00BE7123" w:rsidRDefault="00E13AE2">
          <w:pPr>
            <w:pStyle w:val="TOCHeading"/>
            <w:rPr>
              <w:b w:val="0"/>
            </w:rPr>
          </w:pPr>
          <w:r w:rsidRPr="00BE7123">
            <w:rPr>
              <w:b w:val="0"/>
            </w:rPr>
            <w:t>Table of Contents</w:t>
          </w:r>
        </w:p>
        <w:p w14:paraId="49242C85" w14:textId="77235F80" w:rsidR="00BE7123" w:rsidRPr="00BE7123" w:rsidRDefault="00E13AE2">
          <w:pPr>
            <w:pStyle w:val="TOC1"/>
            <w:tabs>
              <w:tab w:val="right" w:leader="dot" w:pos="9010"/>
            </w:tabs>
            <w:rPr>
              <w:rFonts w:asciiTheme="minorHAnsi" w:hAnsiTheme="minorHAnsi" w:cstheme="minorBidi"/>
              <w:b w:val="0"/>
              <w:bCs w:val="0"/>
              <w:i w:val="0"/>
              <w:iCs w:val="0"/>
              <w:noProof/>
              <w:kern w:val="0"/>
              <w:sz w:val="24"/>
            </w:rPr>
          </w:pPr>
          <w:r w:rsidRPr="00BE7123">
            <w:rPr>
              <w:rFonts w:cs="Times New Roman"/>
              <w:b w:val="0"/>
              <w:bCs w:val="0"/>
              <w:i w:val="0"/>
            </w:rPr>
            <w:fldChar w:fldCharType="begin"/>
          </w:r>
          <w:r w:rsidRPr="00BE7123">
            <w:rPr>
              <w:rFonts w:cs="Times New Roman"/>
              <w:b w:val="0"/>
              <w:i w:val="0"/>
            </w:rPr>
            <w:instrText xml:space="preserve"> TOC \o "1-3" \h \z \u </w:instrText>
          </w:r>
          <w:r w:rsidRPr="00BE7123">
            <w:rPr>
              <w:rFonts w:cs="Times New Roman"/>
              <w:b w:val="0"/>
              <w:bCs w:val="0"/>
              <w:i w:val="0"/>
            </w:rPr>
            <w:fldChar w:fldCharType="separate"/>
          </w:r>
          <w:hyperlink w:anchor="_Toc76380112" w:history="1">
            <w:r w:rsidR="00BE7123" w:rsidRPr="00BE7123">
              <w:rPr>
                <w:rStyle w:val="Hyperlink"/>
                <w:b w:val="0"/>
                <w:i w:val="0"/>
                <w:noProof/>
              </w:rPr>
              <w:t>Figure S1. Overview of study cohorts and summary of plasma metabolites.</w:t>
            </w:r>
            <w:r w:rsidR="00BE7123" w:rsidRPr="00BE7123">
              <w:rPr>
                <w:b w:val="0"/>
                <w:i w:val="0"/>
                <w:noProof/>
                <w:webHidden/>
              </w:rPr>
              <w:tab/>
            </w:r>
            <w:r w:rsidR="00BE7123" w:rsidRPr="00BE7123">
              <w:rPr>
                <w:b w:val="0"/>
                <w:i w:val="0"/>
                <w:noProof/>
                <w:webHidden/>
              </w:rPr>
              <w:fldChar w:fldCharType="begin"/>
            </w:r>
            <w:r w:rsidR="00BE7123" w:rsidRPr="00BE7123">
              <w:rPr>
                <w:b w:val="0"/>
                <w:i w:val="0"/>
                <w:noProof/>
                <w:webHidden/>
              </w:rPr>
              <w:instrText xml:space="preserve"> PAGEREF _Toc76380112 \h </w:instrText>
            </w:r>
            <w:r w:rsidR="00BE7123" w:rsidRPr="00BE7123">
              <w:rPr>
                <w:b w:val="0"/>
                <w:i w:val="0"/>
                <w:noProof/>
                <w:webHidden/>
              </w:rPr>
            </w:r>
            <w:r w:rsidR="00BE7123" w:rsidRPr="00BE7123">
              <w:rPr>
                <w:b w:val="0"/>
                <w:i w:val="0"/>
                <w:noProof/>
                <w:webHidden/>
              </w:rPr>
              <w:fldChar w:fldCharType="separate"/>
            </w:r>
            <w:r w:rsidR="00BE7123" w:rsidRPr="00BE7123">
              <w:rPr>
                <w:b w:val="0"/>
                <w:i w:val="0"/>
                <w:noProof/>
                <w:webHidden/>
              </w:rPr>
              <w:t>2</w:t>
            </w:r>
            <w:r w:rsidR="00BE7123" w:rsidRPr="00BE7123">
              <w:rPr>
                <w:b w:val="0"/>
                <w:i w:val="0"/>
                <w:noProof/>
                <w:webHidden/>
              </w:rPr>
              <w:fldChar w:fldCharType="end"/>
            </w:r>
          </w:hyperlink>
        </w:p>
        <w:p w14:paraId="0BCCD3D2" w14:textId="13CDABB5" w:rsidR="00BE7123" w:rsidRPr="00BE7123" w:rsidRDefault="00BE7123">
          <w:pPr>
            <w:pStyle w:val="TOC1"/>
            <w:tabs>
              <w:tab w:val="right" w:leader="dot" w:pos="9010"/>
            </w:tabs>
            <w:rPr>
              <w:rFonts w:asciiTheme="minorHAnsi" w:hAnsiTheme="minorHAnsi" w:cstheme="minorBidi"/>
              <w:b w:val="0"/>
              <w:bCs w:val="0"/>
              <w:i w:val="0"/>
              <w:iCs w:val="0"/>
              <w:noProof/>
              <w:kern w:val="0"/>
              <w:sz w:val="24"/>
            </w:rPr>
          </w:pPr>
          <w:hyperlink w:anchor="_Toc76380113" w:history="1">
            <w:r w:rsidRPr="00BE7123">
              <w:rPr>
                <w:rStyle w:val="Hyperlink"/>
                <w:b w:val="0"/>
                <w:i w:val="0"/>
                <w:noProof/>
                <w:u w:val="none"/>
              </w:rPr>
              <w:t>Figure</w:t>
            </w:r>
            <w:r w:rsidRPr="00BE7123">
              <w:rPr>
                <w:rStyle w:val="Hyperlink"/>
                <w:b w:val="0"/>
                <w:i w:val="0"/>
                <w:noProof/>
              </w:rPr>
              <w:t xml:space="preserve"> S2. Comparison of the proportion of the variation explained by microbe and genetics at two time points.</w:t>
            </w:r>
            <w:r w:rsidRPr="00BE7123">
              <w:rPr>
                <w:b w:val="0"/>
                <w:i w:val="0"/>
                <w:noProof/>
                <w:webHidden/>
              </w:rPr>
              <w:tab/>
            </w:r>
            <w:r w:rsidRPr="00BE7123">
              <w:rPr>
                <w:b w:val="0"/>
                <w:i w:val="0"/>
                <w:noProof/>
                <w:webHidden/>
              </w:rPr>
              <w:fldChar w:fldCharType="begin"/>
            </w:r>
            <w:r w:rsidRPr="00BE7123">
              <w:rPr>
                <w:b w:val="0"/>
                <w:i w:val="0"/>
                <w:noProof/>
                <w:webHidden/>
              </w:rPr>
              <w:instrText xml:space="preserve"> PAGEREF _Toc76380113 \h </w:instrText>
            </w:r>
            <w:r w:rsidRPr="00BE7123">
              <w:rPr>
                <w:b w:val="0"/>
                <w:i w:val="0"/>
                <w:noProof/>
                <w:webHidden/>
              </w:rPr>
            </w:r>
            <w:r w:rsidRPr="00BE7123">
              <w:rPr>
                <w:b w:val="0"/>
                <w:i w:val="0"/>
                <w:noProof/>
                <w:webHidden/>
              </w:rPr>
              <w:fldChar w:fldCharType="separate"/>
            </w:r>
            <w:r w:rsidRPr="00BE7123">
              <w:rPr>
                <w:b w:val="0"/>
                <w:i w:val="0"/>
                <w:noProof/>
                <w:webHidden/>
              </w:rPr>
              <w:t>3</w:t>
            </w:r>
            <w:r w:rsidRPr="00BE7123">
              <w:rPr>
                <w:b w:val="0"/>
                <w:i w:val="0"/>
                <w:noProof/>
                <w:webHidden/>
              </w:rPr>
              <w:fldChar w:fldCharType="end"/>
            </w:r>
          </w:hyperlink>
        </w:p>
        <w:p w14:paraId="4BE6E02D" w14:textId="0FD650F9" w:rsidR="00BE7123" w:rsidRPr="00BE7123" w:rsidRDefault="00BE7123">
          <w:pPr>
            <w:pStyle w:val="TOC1"/>
            <w:tabs>
              <w:tab w:val="right" w:leader="dot" w:pos="9010"/>
            </w:tabs>
            <w:rPr>
              <w:rFonts w:asciiTheme="minorHAnsi" w:hAnsiTheme="minorHAnsi" w:cstheme="minorBidi"/>
              <w:b w:val="0"/>
              <w:bCs w:val="0"/>
              <w:i w:val="0"/>
              <w:iCs w:val="0"/>
              <w:noProof/>
              <w:kern w:val="0"/>
              <w:sz w:val="24"/>
            </w:rPr>
          </w:pPr>
          <w:hyperlink w:anchor="_Toc76380114" w:history="1">
            <w:r w:rsidRPr="00BE7123">
              <w:rPr>
                <w:rStyle w:val="Hyperlink"/>
                <w:b w:val="0"/>
                <w:i w:val="0"/>
                <w:noProof/>
              </w:rPr>
              <w:t>Figure S3. Comparison of metaQTL effect sizes in different LifeLines cohorts.</w:t>
            </w:r>
            <w:r w:rsidRPr="00BE7123">
              <w:rPr>
                <w:b w:val="0"/>
                <w:i w:val="0"/>
                <w:noProof/>
                <w:webHidden/>
              </w:rPr>
              <w:tab/>
            </w:r>
            <w:r w:rsidRPr="00BE7123">
              <w:rPr>
                <w:b w:val="0"/>
                <w:i w:val="0"/>
                <w:noProof/>
                <w:webHidden/>
              </w:rPr>
              <w:fldChar w:fldCharType="begin"/>
            </w:r>
            <w:r w:rsidRPr="00BE7123">
              <w:rPr>
                <w:b w:val="0"/>
                <w:i w:val="0"/>
                <w:noProof/>
                <w:webHidden/>
              </w:rPr>
              <w:instrText xml:space="preserve"> PAGEREF _Toc76380114 \h </w:instrText>
            </w:r>
            <w:r w:rsidRPr="00BE7123">
              <w:rPr>
                <w:b w:val="0"/>
                <w:i w:val="0"/>
                <w:noProof/>
                <w:webHidden/>
              </w:rPr>
            </w:r>
            <w:r w:rsidRPr="00BE7123">
              <w:rPr>
                <w:b w:val="0"/>
                <w:i w:val="0"/>
                <w:noProof/>
                <w:webHidden/>
              </w:rPr>
              <w:fldChar w:fldCharType="separate"/>
            </w:r>
            <w:r w:rsidRPr="00BE7123">
              <w:rPr>
                <w:b w:val="0"/>
                <w:i w:val="0"/>
                <w:noProof/>
                <w:webHidden/>
              </w:rPr>
              <w:t>4</w:t>
            </w:r>
            <w:r w:rsidRPr="00BE7123">
              <w:rPr>
                <w:b w:val="0"/>
                <w:i w:val="0"/>
                <w:noProof/>
                <w:webHidden/>
              </w:rPr>
              <w:fldChar w:fldCharType="end"/>
            </w:r>
          </w:hyperlink>
        </w:p>
        <w:p w14:paraId="733303B9" w14:textId="7AB17DBE" w:rsidR="00BE7123" w:rsidRPr="00BE7123" w:rsidRDefault="00BE7123">
          <w:pPr>
            <w:pStyle w:val="TOC1"/>
            <w:tabs>
              <w:tab w:val="right" w:leader="dot" w:pos="9010"/>
            </w:tabs>
            <w:rPr>
              <w:rFonts w:asciiTheme="minorHAnsi" w:hAnsiTheme="minorHAnsi" w:cstheme="minorBidi"/>
              <w:b w:val="0"/>
              <w:bCs w:val="0"/>
              <w:i w:val="0"/>
              <w:iCs w:val="0"/>
              <w:noProof/>
              <w:kern w:val="0"/>
              <w:sz w:val="24"/>
            </w:rPr>
          </w:pPr>
          <w:hyperlink w:anchor="_Toc76380115" w:history="1">
            <w:r w:rsidRPr="00BE7123">
              <w:rPr>
                <w:rStyle w:val="Hyperlink"/>
                <w:b w:val="0"/>
                <w:i w:val="0"/>
                <w:noProof/>
              </w:rPr>
              <w:t>Figure S4. Tissue-specific gene expression analysis with FUMA.</w:t>
            </w:r>
            <w:r w:rsidRPr="00BE7123">
              <w:rPr>
                <w:b w:val="0"/>
                <w:i w:val="0"/>
                <w:noProof/>
                <w:webHidden/>
              </w:rPr>
              <w:tab/>
            </w:r>
            <w:r w:rsidRPr="00BE7123">
              <w:rPr>
                <w:b w:val="0"/>
                <w:i w:val="0"/>
                <w:noProof/>
                <w:webHidden/>
              </w:rPr>
              <w:fldChar w:fldCharType="begin"/>
            </w:r>
            <w:r w:rsidRPr="00BE7123">
              <w:rPr>
                <w:b w:val="0"/>
                <w:i w:val="0"/>
                <w:noProof/>
                <w:webHidden/>
              </w:rPr>
              <w:instrText xml:space="preserve"> PAGEREF _Toc76380115 \h </w:instrText>
            </w:r>
            <w:r w:rsidRPr="00BE7123">
              <w:rPr>
                <w:b w:val="0"/>
                <w:i w:val="0"/>
                <w:noProof/>
                <w:webHidden/>
              </w:rPr>
            </w:r>
            <w:r w:rsidRPr="00BE7123">
              <w:rPr>
                <w:b w:val="0"/>
                <w:i w:val="0"/>
                <w:noProof/>
                <w:webHidden/>
              </w:rPr>
              <w:fldChar w:fldCharType="separate"/>
            </w:r>
            <w:r w:rsidRPr="00BE7123">
              <w:rPr>
                <w:b w:val="0"/>
                <w:i w:val="0"/>
                <w:noProof/>
                <w:webHidden/>
              </w:rPr>
              <w:t>5</w:t>
            </w:r>
            <w:r w:rsidRPr="00BE7123">
              <w:rPr>
                <w:b w:val="0"/>
                <w:i w:val="0"/>
                <w:noProof/>
                <w:webHidden/>
              </w:rPr>
              <w:fldChar w:fldCharType="end"/>
            </w:r>
          </w:hyperlink>
        </w:p>
        <w:p w14:paraId="0722C732" w14:textId="2F73C727" w:rsidR="00BE7123" w:rsidRPr="00BE7123" w:rsidRDefault="00BE7123">
          <w:pPr>
            <w:pStyle w:val="TOC1"/>
            <w:tabs>
              <w:tab w:val="right" w:leader="dot" w:pos="9010"/>
            </w:tabs>
            <w:rPr>
              <w:rFonts w:asciiTheme="minorHAnsi" w:hAnsiTheme="minorHAnsi" w:cstheme="minorBidi"/>
              <w:b w:val="0"/>
              <w:bCs w:val="0"/>
              <w:i w:val="0"/>
              <w:iCs w:val="0"/>
              <w:noProof/>
              <w:kern w:val="0"/>
              <w:sz w:val="24"/>
            </w:rPr>
          </w:pPr>
          <w:hyperlink w:anchor="_Toc76380116" w:history="1">
            <w:r w:rsidRPr="00BE7123">
              <w:rPr>
                <w:rStyle w:val="Hyperlink"/>
                <w:b w:val="0"/>
                <w:i w:val="0"/>
                <w:noProof/>
              </w:rPr>
              <w:t>Figure S5. Metabolites associated with gutSMASH pathways.</w:t>
            </w:r>
            <w:r w:rsidRPr="00BE7123">
              <w:rPr>
                <w:b w:val="0"/>
                <w:i w:val="0"/>
                <w:noProof/>
                <w:webHidden/>
              </w:rPr>
              <w:tab/>
            </w:r>
            <w:r w:rsidRPr="00BE7123">
              <w:rPr>
                <w:b w:val="0"/>
                <w:i w:val="0"/>
                <w:noProof/>
                <w:webHidden/>
              </w:rPr>
              <w:fldChar w:fldCharType="begin"/>
            </w:r>
            <w:r w:rsidRPr="00BE7123">
              <w:rPr>
                <w:b w:val="0"/>
                <w:i w:val="0"/>
                <w:noProof/>
                <w:webHidden/>
              </w:rPr>
              <w:instrText xml:space="preserve"> PAGEREF _Toc76380116 \h </w:instrText>
            </w:r>
            <w:r w:rsidRPr="00BE7123">
              <w:rPr>
                <w:b w:val="0"/>
                <w:i w:val="0"/>
                <w:noProof/>
                <w:webHidden/>
              </w:rPr>
            </w:r>
            <w:r w:rsidRPr="00BE7123">
              <w:rPr>
                <w:b w:val="0"/>
                <w:i w:val="0"/>
                <w:noProof/>
                <w:webHidden/>
              </w:rPr>
              <w:fldChar w:fldCharType="separate"/>
            </w:r>
            <w:r w:rsidRPr="00BE7123">
              <w:rPr>
                <w:b w:val="0"/>
                <w:i w:val="0"/>
                <w:noProof/>
                <w:webHidden/>
              </w:rPr>
              <w:t>6</w:t>
            </w:r>
            <w:r w:rsidRPr="00BE7123">
              <w:rPr>
                <w:b w:val="0"/>
                <w:i w:val="0"/>
                <w:noProof/>
                <w:webHidden/>
              </w:rPr>
              <w:fldChar w:fldCharType="end"/>
            </w:r>
          </w:hyperlink>
        </w:p>
        <w:p w14:paraId="5C408DB9" w14:textId="3B05E048" w:rsidR="00BE7123" w:rsidRPr="00BE7123" w:rsidRDefault="00BE7123">
          <w:pPr>
            <w:pStyle w:val="TOC1"/>
            <w:tabs>
              <w:tab w:val="right" w:leader="dot" w:pos="9010"/>
            </w:tabs>
            <w:rPr>
              <w:rFonts w:asciiTheme="minorHAnsi" w:hAnsiTheme="minorHAnsi" w:cstheme="minorBidi"/>
              <w:b w:val="0"/>
              <w:bCs w:val="0"/>
              <w:i w:val="0"/>
              <w:iCs w:val="0"/>
              <w:noProof/>
              <w:kern w:val="0"/>
              <w:sz w:val="24"/>
            </w:rPr>
          </w:pPr>
          <w:hyperlink w:anchor="_Toc76380117" w:history="1">
            <w:r w:rsidRPr="00BE7123">
              <w:rPr>
                <w:rStyle w:val="Hyperlink"/>
                <w:b w:val="0"/>
                <w:i w:val="0"/>
                <w:noProof/>
              </w:rPr>
              <w:t>Figure S6. Leave-one-out sensitivity analysis for significant MR linkages</w:t>
            </w:r>
            <w:r w:rsidRPr="00BE7123">
              <w:rPr>
                <w:rStyle w:val="Hyperlink"/>
                <w:rFonts w:cs="Times New Roman"/>
                <w:b w:val="0"/>
                <w:i w:val="0"/>
                <w:noProof/>
              </w:rPr>
              <w:t>.</w:t>
            </w:r>
            <w:r w:rsidRPr="00BE7123">
              <w:rPr>
                <w:b w:val="0"/>
                <w:i w:val="0"/>
                <w:noProof/>
                <w:webHidden/>
              </w:rPr>
              <w:tab/>
            </w:r>
            <w:r w:rsidRPr="00BE7123">
              <w:rPr>
                <w:b w:val="0"/>
                <w:i w:val="0"/>
                <w:noProof/>
                <w:webHidden/>
              </w:rPr>
              <w:fldChar w:fldCharType="begin"/>
            </w:r>
            <w:r w:rsidRPr="00BE7123">
              <w:rPr>
                <w:b w:val="0"/>
                <w:i w:val="0"/>
                <w:noProof/>
                <w:webHidden/>
              </w:rPr>
              <w:instrText xml:space="preserve"> PAGEREF _Toc76380117 \h </w:instrText>
            </w:r>
            <w:r w:rsidRPr="00BE7123">
              <w:rPr>
                <w:b w:val="0"/>
                <w:i w:val="0"/>
                <w:noProof/>
                <w:webHidden/>
              </w:rPr>
            </w:r>
            <w:r w:rsidRPr="00BE7123">
              <w:rPr>
                <w:b w:val="0"/>
                <w:i w:val="0"/>
                <w:noProof/>
                <w:webHidden/>
              </w:rPr>
              <w:fldChar w:fldCharType="separate"/>
            </w:r>
            <w:r w:rsidRPr="00BE7123">
              <w:rPr>
                <w:b w:val="0"/>
                <w:i w:val="0"/>
                <w:noProof/>
                <w:webHidden/>
              </w:rPr>
              <w:t>7</w:t>
            </w:r>
            <w:r w:rsidRPr="00BE7123">
              <w:rPr>
                <w:b w:val="0"/>
                <w:i w:val="0"/>
                <w:noProof/>
                <w:webHidden/>
              </w:rPr>
              <w:fldChar w:fldCharType="end"/>
            </w:r>
          </w:hyperlink>
        </w:p>
        <w:p w14:paraId="1C4E14BE" w14:textId="01B99F62" w:rsidR="00E13AE2" w:rsidRPr="00BE7123" w:rsidRDefault="00E13AE2">
          <w:pPr>
            <w:rPr>
              <w:rFonts w:cs="Times New Roman"/>
            </w:rPr>
          </w:pPr>
          <w:r w:rsidRPr="00BE7123">
            <w:rPr>
              <w:rFonts w:cs="Times New Roman"/>
              <w:bCs/>
              <w:noProof/>
            </w:rPr>
            <w:fldChar w:fldCharType="end"/>
          </w:r>
        </w:p>
      </w:sdtContent>
    </w:sdt>
    <w:p w14:paraId="7C79CA8B" w14:textId="77777777" w:rsidR="00F158B9" w:rsidRDefault="00F158B9" w:rsidP="007B125B">
      <w:pPr>
        <w:spacing w:after="240" w:line="360" w:lineRule="auto"/>
        <w:jc w:val="center"/>
        <w:rPr>
          <w:rFonts w:cs="Times New Roman"/>
          <w:b/>
          <w:color w:val="000000" w:themeColor="text1"/>
          <w:szCs w:val="22"/>
        </w:rPr>
      </w:pPr>
    </w:p>
    <w:p w14:paraId="70264DDD" w14:textId="77777777" w:rsidR="00AE5AE6" w:rsidRDefault="00AE5AE6">
      <w:pPr>
        <w:widowControl/>
        <w:jc w:val="left"/>
        <w:rPr>
          <w:rFonts w:cs="Times New Roman"/>
          <w:b/>
          <w:color w:val="000000" w:themeColor="text1"/>
          <w:szCs w:val="22"/>
        </w:rPr>
      </w:pPr>
      <w:bookmarkStart w:id="0" w:name="_GoBack"/>
      <w:bookmarkEnd w:id="0"/>
      <w:r>
        <w:rPr>
          <w:rFonts w:cs="Times New Roman"/>
          <w:b/>
          <w:color w:val="000000" w:themeColor="text1"/>
          <w:szCs w:val="22"/>
        </w:rPr>
        <w:br w:type="page"/>
      </w:r>
    </w:p>
    <w:p w14:paraId="23998D5C" w14:textId="77777777" w:rsidR="00B4124E" w:rsidRPr="00B4124E" w:rsidRDefault="00AE5AE6" w:rsidP="00B4124E">
      <w:pPr>
        <w:pStyle w:val="Heading1"/>
      </w:pPr>
      <w:bookmarkStart w:id="1" w:name="_Toc76380112"/>
      <w:r w:rsidRPr="00B4124E">
        <w:lastRenderedPageBreak/>
        <w:t>Figure S1. Over</w:t>
      </w:r>
      <w:r w:rsidR="00F158B9" w:rsidRPr="00B4124E">
        <w:softHyphen/>
      </w:r>
      <w:r w:rsidRPr="00B4124E">
        <w:t>view of study cohorts and summary of plasma metabolites.</w:t>
      </w:r>
      <w:bookmarkEnd w:id="1"/>
      <w:r w:rsidRPr="00B4124E">
        <w:t xml:space="preserve"> </w:t>
      </w:r>
    </w:p>
    <w:p w14:paraId="2A3EA988" w14:textId="54765441" w:rsidR="00AE5AE6" w:rsidRPr="00C74B96" w:rsidRDefault="00B4124E" w:rsidP="00CE22DB">
      <w:r w:rsidRPr="00B4124E">
        <w:rPr>
          <w:b/>
        </w:rPr>
        <w:t>A</w:t>
      </w:r>
      <w:r w:rsidR="00825E6A" w:rsidRPr="00C74B96">
        <w:t xml:space="preserve">. Summary of cohorts and datasets that involved in the analyses. </w:t>
      </w:r>
      <w:r w:rsidR="00825E6A" w:rsidRPr="00B4124E">
        <w:rPr>
          <w:b/>
        </w:rPr>
        <w:t>B.</w:t>
      </w:r>
      <w:r w:rsidR="00825E6A" w:rsidRPr="00C74B96">
        <w:t xml:space="preserve"> </w:t>
      </w:r>
      <w:r w:rsidR="00493610" w:rsidRPr="00C74B96">
        <w:t xml:space="preserve">Number of metabolites per metabolic </w:t>
      </w:r>
      <w:r w:rsidR="00825E6A" w:rsidRPr="00C74B96">
        <w:t>categories of plasma metabolites</w:t>
      </w:r>
      <w:r w:rsidR="00493610" w:rsidRPr="00C74B96">
        <w:t xml:space="preserve">, </w:t>
      </w:r>
      <w:r w:rsidR="00825E6A" w:rsidRPr="00C74B96">
        <w:t xml:space="preserve">based on </w:t>
      </w:r>
      <w:r w:rsidR="00493610" w:rsidRPr="00C74B96">
        <w:t xml:space="preserve">the annotation of the </w:t>
      </w:r>
      <w:r w:rsidR="00825E6A" w:rsidRPr="00C74B96">
        <w:t xml:space="preserve">HMDB database. C. Comparison of metabolite concentrations between un-targeted LC-MS/MS and NMR platforms. D. Inter-correlation between metabolites in the Lifelines-DEEP baseline samples. Rows and columns represent metabolites. </w:t>
      </w:r>
      <w:r w:rsidR="00493610" w:rsidRPr="00C74B96">
        <w:t>The color scheme represents the Spearman correlation coefficient.</w:t>
      </w:r>
    </w:p>
    <w:p w14:paraId="2F095544" w14:textId="77777777" w:rsidR="00F158B9" w:rsidRPr="00F158B9" w:rsidRDefault="00F158B9" w:rsidP="00F158B9"/>
    <w:p w14:paraId="5E08AA95" w14:textId="3D0C5182" w:rsidR="00AE5AE6" w:rsidRPr="00FA0338" w:rsidRDefault="00AE5AE6" w:rsidP="00AE5AE6">
      <w:pPr>
        <w:spacing w:after="240"/>
        <w:rPr>
          <w:rFonts w:cs="Times New Roman"/>
          <w:b/>
          <w:color w:val="000000" w:themeColor="text1"/>
          <w:szCs w:val="22"/>
        </w:rPr>
      </w:pPr>
      <w:r>
        <w:rPr>
          <w:rFonts w:cs="Times New Roman"/>
          <w:b/>
          <w:noProof/>
          <w:color w:val="000000" w:themeColor="text1"/>
          <w:szCs w:val="22"/>
        </w:rPr>
        <w:drawing>
          <wp:inline distT="0" distB="0" distL="0" distR="0" wp14:anchorId="1C9FC717" wp14:editId="51E54B84">
            <wp:extent cx="5727700" cy="56794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S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67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49443" w14:textId="764B97A3" w:rsidR="00AE5AE6" w:rsidRDefault="00AE5AE6">
      <w:pPr>
        <w:widowControl/>
        <w:jc w:val="left"/>
        <w:rPr>
          <w:rFonts w:cs="Times New Roman"/>
          <w:b/>
          <w:color w:val="000000" w:themeColor="text1"/>
          <w:szCs w:val="22"/>
        </w:rPr>
      </w:pPr>
      <w:r>
        <w:rPr>
          <w:rFonts w:cs="Times New Roman"/>
          <w:b/>
          <w:color w:val="000000" w:themeColor="text1"/>
          <w:szCs w:val="22"/>
        </w:rPr>
        <w:br w:type="page"/>
      </w:r>
    </w:p>
    <w:p w14:paraId="74F93187" w14:textId="77777777" w:rsidR="00E17856" w:rsidRPr="00E17856" w:rsidRDefault="00AE5AE6" w:rsidP="00E17856">
      <w:pPr>
        <w:pStyle w:val="Heading1"/>
      </w:pPr>
      <w:bookmarkStart w:id="2" w:name="_Toc76380113"/>
      <w:r w:rsidRPr="00E17856">
        <w:lastRenderedPageBreak/>
        <w:t xml:space="preserve">Figure S2. </w:t>
      </w:r>
      <w:r w:rsidR="00493610" w:rsidRPr="00E17856">
        <w:t>Comparison of the proportion of the variation explained by microbe and genetics at two time</w:t>
      </w:r>
      <w:r w:rsidR="00C578E1" w:rsidRPr="00E17856">
        <w:t xml:space="preserve"> </w:t>
      </w:r>
      <w:r w:rsidR="00493610" w:rsidRPr="00E17856">
        <w:t>points.</w:t>
      </w:r>
      <w:bookmarkEnd w:id="2"/>
      <w:r w:rsidR="00493610" w:rsidRPr="00E17856">
        <w:t xml:space="preserve"> </w:t>
      </w:r>
    </w:p>
    <w:p w14:paraId="40FA7EC1" w14:textId="557E9A7B" w:rsidR="00AE5AE6" w:rsidRPr="00C74B96" w:rsidRDefault="00B65043" w:rsidP="00CE22DB">
      <w:r w:rsidRPr="00E17856">
        <w:rPr>
          <w:b/>
        </w:rPr>
        <w:t>A.</w:t>
      </w:r>
      <w:r w:rsidRPr="00C74B96">
        <w:t xml:space="preserve"> </w:t>
      </w:r>
      <w:r w:rsidR="00493610" w:rsidRPr="00C74B96">
        <w:t xml:space="preserve">Proportion of the variation explained by the gut microbiome. </w:t>
      </w:r>
      <w:r w:rsidR="00493610" w:rsidRPr="00E17856">
        <w:rPr>
          <w:b/>
        </w:rPr>
        <w:t>B.</w:t>
      </w:r>
      <w:r w:rsidR="00493610" w:rsidRPr="00C74B96">
        <w:t xml:space="preserve"> Proportion of the variation explained by genetics. Each dot </w:t>
      </w:r>
      <w:r w:rsidR="00825E6A" w:rsidRPr="00C74B96">
        <w:t>represent</w:t>
      </w:r>
      <w:r w:rsidR="00493610" w:rsidRPr="00C74B96">
        <w:t>s a</w:t>
      </w:r>
      <w:r w:rsidR="00825E6A" w:rsidRPr="00C74B96">
        <w:t xml:space="preserve"> metabolite.</w:t>
      </w:r>
      <w:r w:rsidR="00493610" w:rsidRPr="00C74B96">
        <w:t xml:space="preserve"> The x-axis refers </w:t>
      </w:r>
      <w:r w:rsidR="00C578E1" w:rsidRPr="00C74B96">
        <w:t>to the</w:t>
      </w:r>
      <w:r w:rsidR="00493610" w:rsidRPr="00C74B96">
        <w:t xml:space="preserve"> explained variation at the baseline. The y-axis refers </w:t>
      </w:r>
      <w:r w:rsidR="00C578E1" w:rsidRPr="00C74B96">
        <w:t xml:space="preserve">to </w:t>
      </w:r>
      <w:r w:rsidR="00493610" w:rsidRPr="00C74B96">
        <w:t>the explained variation at the follow-up</w:t>
      </w:r>
      <w:r w:rsidRPr="00C74B96">
        <w:t xml:space="preserve">. The </w:t>
      </w:r>
      <w:r w:rsidR="00C578E1" w:rsidRPr="00C74B96">
        <w:t xml:space="preserve">similarity </w:t>
      </w:r>
      <w:r w:rsidRPr="00C74B96">
        <w:t>between two time</w:t>
      </w:r>
      <w:r w:rsidR="00C578E1" w:rsidRPr="00C74B96">
        <w:t xml:space="preserve"> </w:t>
      </w:r>
      <w:r w:rsidRPr="00C74B96">
        <w:t>points w</w:t>
      </w:r>
      <w:r w:rsidR="00C578E1" w:rsidRPr="00C74B96">
        <w:t>as</w:t>
      </w:r>
      <w:r w:rsidRPr="00C74B96">
        <w:t xml:space="preserve"> assessed using the </w:t>
      </w:r>
      <w:r w:rsidR="00C578E1" w:rsidRPr="00C74B96">
        <w:t>S</w:t>
      </w:r>
      <w:r w:rsidRPr="00C74B96">
        <w:t xml:space="preserve">pearman correlation. </w:t>
      </w:r>
    </w:p>
    <w:p w14:paraId="2EDD06ED" w14:textId="77777777" w:rsidR="00B65043" w:rsidRPr="00C578E1" w:rsidRDefault="00B65043" w:rsidP="00A56B03"/>
    <w:p w14:paraId="5E8FF06C" w14:textId="52976271" w:rsidR="00F158B9" w:rsidRPr="00F158B9" w:rsidRDefault="00493610" w:rsidP="00F158B9">
      <w:r>
        <w:rPr>
          <w:noProof/>
        </w:rPr>
        <w:drawing>
          <wp:inline distT="0" distB="0" distL="0" distR="0" wp14:anchorId="14A87B8B" wp14:editId="7D82FFEE">
            <wp:extent cx="5366275" cy="2415746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S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743" cy="241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D7C09" w14:textId="0EBC0609" w:rsidR="007B125B" w:rsidRPr="00FA0338" w:rsidRDefault="007B125B" w:rsidP="007B125B">
      <w:pPr>
        <w:spacing w:after="240"/>
        <w:rPr>
          <w:rFonts w:cs="Times New Roman"/>
          <w:b/>
          <w:color w:val="000000" w:themeColor="text1"/>
          <w:szCs w:val="22"/>
        </w:rPr>
      </w:pPr>
    </w:p>
    <w:p w14:paraId="0B91676A" w14:textId="77777777" w:rsidR="007B125B" w:rsidRDefault="007B125B">
      <w:pPr>
        <w:widowControl/>
        <w:jc w:val="left"/>
        <w:rPr>
          <w:rFonts w:cs="Times New Roman"/>
          <w:b/>
          <w:color w:val="000000" w:themeColor="text1"/>
          <w:szCs w:val="22"/>
        </w:rPr>
      </w:pPr>
      <w:r>
        <w:rPr>
          <w:rFonts w:cs="Times New Roman"/>
          <w:b/>
          <w:color w:val="000000" w:themeColor="text1"/>
          <w:szCs w:val="22"/>
        </w:rPr>
        <w:br w:type="page"/>
      </w:r>
    </w:p>
    <w:p w14:paraId="44B0CB5B" w14:textId="77777777" w:rsidR="00E17856" w:rsidRPr="00E17856" w:rsidRDefault="00AE5AE6" w:rsidP="00E17856">
      <w:pPr>
        <w:pStyle w:val="Heading1"/>
      </w:pPr>
      <w:bookmarkStart w:id="3" w:name="_Toc76380114"/>
      <w:r w:rsidRPr="00E17856">
        <w:lastRenderedPageBreak/>
        <w:t xml:space="preserve">Figure S3. Comparison of </w:t>
      </w:r>
      <w:proofErr w:type="spellStart"/>
      <w:r w:rsidRPr="00E17856">
        <w:t>metaQTL</w:t>
      </w:r>
      <w:proofErr w:type="spellEnd"/>
      <w:r w:rsidR="00966E27" w:rsidRPr="00E17856">
        <w:t xml:space="preserve"> effect sizes</w:t>
      </w:r>
      <w:r w:rsidRPr="00E17856">
        <w:t xml:space="preserve"> in </w:t>
      </w:r>
      <w:r w:rsidR="00966E27" w:rsidRPr="00E17856">
        <w:t xml:space="preserve">different </w:t>
      </w:r>
      <w:proofErr w:type="spellStart"/>
      <w:r w:rsidR="00966E27" w:rsidRPr="00E17856">
        <w:t>LifeLines</w:t>
      </w:r>
      <w:proofErr w:type="spellEnd"/>
      <w:r w:rsidR="00966E27" w:rsidRPr="00E17856">
        <w:t xml:space="preserve"> cohorts</w:t>
      </w:r>
      <w:r w:rsidRPr="00E17856">
        <w:t>.</w:t>
      </w:r>
      <w:bookmarkEnd w:id="3"/>
      <w:r w:rsidR="00825E6A" w:rsidRPr="00E17856">
        <w:t xml:space="preserve"> </w:t>
      </w:r>
    </w:p>
    <w:p w14:paraId="64DD7C5E" w14:textId="16EE07E0" w:rsidR="00AE5AE6" w:rsidRPr="00C74B96" w:rsidRDefault="00825E6A" w:rsidP="00CE22DB">
      <w:r w:rsidRPr="00C74B96">
        <w:t xml:space="preserve">Dots represent </w:t>
      </w:r>
      <w:r w:rsidR="00966E27" w:rsidRPr="00C74B96">
        <w:t xml:space="preserve">identified </w:t>
      </w:r>
      <w:r w:rsidRPr="00C74B96">
        <w:t xml:space="preserve">independent </w:t>
      </w:r>
      <w:proofErr w:type="spellStart"/>
      <w:r w:rsidRPr="00C74B96">
        <w:t>metaQTLs</w:t>
      </w:r>
      <w:proofErr w:type="spellEnd"/>
      <w:r w:rsidRPr="00C74B96">
        <w:t xml:space="preserve"> </w:t>
      </w:r>
      <w:r w:rsidR="00966E27" w:rsidRPr="00C74B96">
        <w:t xml:space="preserve">identified </w:t>
      </w:r>
      <w:r w:rsidRPr="00C74B96">
        <w:t>in the Lifelines-DEEP baseline samples.</w:t>
      </w:r>
      <w:r w:rsidR="00966E27" w:rsidRPr="00C74B96">
        <w:t xml:space="preserve"> The x-axis refers to the effect size estimated in the LLD baseline cohort. The y-axis refers to the effect size estimated in the LLD follow-up, LLD2, and </w:t>
      </w:r>
      <w:proofErr w:type="spellStart"/>
      <w:r w:rsidR="00966E27" w:rsidRPr="00C74B96">
        <w:t>GoNL</w:t>
      </w:r>
      <w:proofErr w:type="spellEnd"/>
      <w:r w:rsidR="00966E27" w:rsidRPr="00C74B96">
        <w:t xml:space="preserve"> samples, respectively. The </w:t>
      </w:r>
      <w:proofErr w:type="spellStart"/>
      <w:r w:rsidR="00966E27" w:rsidRPr="00C74B96">
        <w:t>mbQTL</w:t>
      </w:r>
      <w:proofErr w:type="spellEnd"/>
      <w:r w:rsidR="00966E27" w:rsidRPr="00C74B96">
        <w:t xml:space="preserve"> that was significant at P&lt;0.05 level in the corresponding cohort is </w:t>
      </w:r>
      <w:r w:rsidR="00E02FF3" w:rsidRPr="00C74B96">
        <w:t>filled</w:t>
      </w:r>
      <w:r w:rsidR="009A4121" w:rsidRPr="00C74B96">
        <w:t xml:space="preserve"> with </w:t>
      </w:r>
      <w:r w:rsidR="00966E27" w:rsidRPr="00C74B96">
        <w:t>black</w:t>
      </w:r>
      <w:r w:rsidR="009A4121" w:rsidRPr="00C74B96">
        <w:t xml:space="preserve"> color</w:t>
      </w:r>
      <w:r w:rsidR="00966E27" w:rsidRPr="00C74B96">
        <w:t xml:space="preserve">, otherwise </w:t>
      </w:r>
      <w:r w:rsidR="009A4121" w:rsidRPr="00C74B96">
        <w:t>with</w:t>
      </w:r>
      <w:r w:rsidR="00966E27" w:rsidRPr="00C74B96">
        <w:t xml:space="preserve"> gray.</w:t>
      </w:r>
    </w:p>
    <w:p w14:paraId="78B9AFB5" w14:textId="77777777" w:rsidR="00F158B9" w:rsidRPr="00F158B9" w:rsidRDefault="00F158B9" w:rsidP="00F158B9"/>
    <w:p w14:paraId="6FC221ED" w14:textId="4E8035B6" w:rsidR="007B125B" w:rsidRPr="00FA0338" w:rsidRDefault="007B125B" w:rsidP="007B125B">
      <w:pPr>
        <w:spacing w:after="240"/>
        <w:rPr>
          <w:rFonts w:cs="Times New Roman"/>
          <w:b/>
          <w:color w:val="000000" w:themeColor="text1"/>
          <w:szCs w:val="22"/>
        </w:rPr>
      </w:pPr>
      <w:r>
        <w:rPr>
          <w:rFonts w:cs="Times New Roman"/>
          <w:b/>
          <w:noProof/>
          <w:color w:val="000000" w:themeColor="text1"/>
          <w:szCs w:val="22"/>
        </w:rPr>
        <w:drawing>
          <wp:inline distT="0" distB="0" distL="0" distR="0" wp14:anchorId="27997138" wp14:editId="5A0598CA">
            <wp:extent cx="5727700" cy="16719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S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AAF2B" w14:textId="19849B01" w:rsidR="007B125B" w:rsidRDefault="007B125B">
      <w:pPr>
        <w:widowControl/>
        <w:jc w:val="left"/>
        <w:rPr>
          <w:rFonts w:cs="Times New Roman"/>
          <w:b/>
          <w:color w:val="000000" w:themeColor="text1"/>
          <w:szCs w:val="22"/>
        </w:rPr>
      </w:pPr>
      <w:r>
        <w:rPr>
          <w:rFonts w:cs="Times New Roman"/>
          <w:b/>
          <w:color w:val="000000" w:themeColor="text1"/>
          <w:szCs w:val="22"/>
        </w:rPr>
        <w:br w:type="page"/>
      </w:r>
    </w:p>
    <w:p w14:paraId="655D6B44" w14:textId="77777777" w:rsidR="00CE22DB" w:rsidRPr="00CE22DB" w:rsidRDefault="00AE5AE6" w:rsidP="00CE22DB">
      <w:pPr>
        <w:pStyle w:val="Heading1"/>
      </w:pPr>
      <w:bookmarkStart w:id="4" w:name="_Toc76380115"/>
      <w:r w:rsidRPr="00CE22DB">
        <w:lastRenderedPageBreak/>
        <w:t>Figure S4. Tissue-specific gene expression analysis with FUMA.</w:t>
      </w:r>
      <w:bookmarkEnd w:id="4"/>
      <w:r w:rsidR="000B4313" w:rsidRPr="00CE22DB">
        <w:t xml:space="preserve"> </w:t>
      </w:r>
    </w:p>
    <w:p w14:paraId="1FF8FC37" w14:textId="75E4CB6F" w:rsidR="00AE5AE6" w:rsidRDefault="00A03F09" w:rsidP="00CE22DB">
      <w:r w:rsidRPr="00C74B96">
        <w:t xml:space="preserve">All significant </w:t>
      </w:r>
      <w:proofErr w:type="spellStart"/>
      <w:r w:rsidRPr="00C74B96">
        <w:t>metaQTLs</w:t>
      </w:r>
      <w:proofErr w:type="spellEnd"/>
      <w:r w:rsidRPr="00C74B96">
        <w:t xml:space="preserve"> observed in the LLD baseline were used </w:t>
      </w:r>
      <w:r w:rsidR="00285710" w:rsidRPr="00C74B96">
        <w:t xml:space="preserve">to check the </w:t>
      </w:r>
      <w:r w:rsidRPr="00C74B96">
        <w:t>enrichment of differentially expressed gene (DEG) sets in a certain tissue compared to all other tissue types</w:t>
      </w:r>
      <w:r w:rsidR="00285710" w:rsidRPr="00C74B96">
        <w:t xml:space="preserve"> based on </w:t>
      </w:r>
      <w:proofErr w:type="spellStart"/>
      <w:r w:rsidR="00285710" w:rsidRPr="00C74B96">
        <w:t>GTEx</w:t>
      </w:r>
      <w:proofErr w:type="spellEnd"/>
      <w:r w:rsidR="00285710" w:rsidRPr="00C74B96">
        <w:t xml:space="preserve"> (version 8).</w:t>
      </w:r>
      <w:r w:rsidRPr="00A03F09">
        <w:t xml:space="preserve"> </w:t>
      </w:r>
    </w:p>
    <w:p w14:paraId="17A31982" w14:textId="77777777" w:rsidR="00F158B9" w:rsidRPr="00F158B9" w:rsidRDefault="00F158B9" w:rsidP="00F158B9"/>
    <w:p w14:paraId="187471B1" w14:textId="3512A4B3" w:rsidR="007B125B" w:rsidRDefault="007B125B" w:rsidP="007B125B">
      <w:pPr>
        <w:spacing w:after="240"/>
        <w:rPr>
          <w:rFonts w:cs="Times New Roman"/>
          <w:b/>
          <w:color w:val="000000" w:themeColor="text1"/>
          <w:szCs w:val="22"/>
        </w:rPr>
      </w:pPr>
      <w:r>
        <w:rPr>
          <w:rFonts w:cs="Times New Roman"/>
          <w:b/>
          <w:noProof/>
          <w:color w:val="000000" w:themeColor="text1"/>
          <w:szCs w:val="22"/>
        </w:rPr>
        <w:drawing>
          <wp:inline distT="0" distB="0" distL="0" distR="0" wp14:anchorId="27453661" wp14:editId="4673138C">
            <wp:extent cx="5727700" cy="44335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S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43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B40A3" w14:textId="77777777" w:rsidR="007B125B" w:rsidRPr="00FA0338" w:rsidRDefault="007B125B" w:rsidP="007B125B">
      <w:pPr>
        <w:spacing w:after="240"/>
        <w:rPr>
          <w:rFonts w:cs="Times New Roman"/>
          <w:b/>
          <w:color w:val="000000" w:themeColor="text1"/>
          <w:szCs w:val="22"/>
        </w:rPr>
      </w:pPr>
    </w:p>
    <w:p w14:paraId="711373A0" w14:textId="77777777" w:rsidR="007B125B" w:rsidRDefault="007B125B">
      <w:pPr>
        <w:widowControl/>
        <w:jc w:val="left"/>
        <w:rPr>
          <w:rFonts w:cs="Times New Roman"/>
          <w:b/>
          <w:color w:val="000000" w:themeColor="text1"/>
          <w:szCs w:val="22"/>
        </w:rPr>
      </w:pPr>
      <w:r>
        <w:rPr>
          <w:rFonts w:cs="Times New Roman"/>
          <w:b/>
          <w:color w:val="000000" w:themeColor="text1"/>
          <w:szCs w:val="22"/>
        </w:rPr>
        <w:br w:type="page"/>
      </w:r>
    </w:p>
    <w:p w14:paraId="43A47087" w14:textId="77777777" w:rsidR="00CE22DB" w:rsidRPr="00CE22DB" w:rsidRDefault="00AE5AE6" w:rsidP="00CE22DB">
      <w:pPr>
        <w:pStyle w:val="Heading1"/>
      </w:pPr>
      <w:bookmarkStart w:id="5" w:name="_Toc76380116"/>
      <w:r w:rsidRPr="00CE22DB">
        <w:lastRenderedPageBreak/>
        <w:t>Figure S5. Metabolite</w:t>
      </w:r>
      <w:r w:rsidR="00776D85" w:rsidRPr="00CE22DB">
        <w:t>s</w:t>
      </w:r>
      <w:r w:rsidRPr="00CE22DB">
        <w:t xml:space="preserve"> associat</w:t>
      </w:r>
      <w:r w:rsidR="00776D85" w:rsidRPr="00CE22DB">
        <w:t>ed</w:t>
      </w:r>
      <w:r w:rsidRPr="00CE22DB">
        <w:t xml:space="preserve"> </w:t>
      </w:r>
      <w:r w:rsidR="00776D85" w:rsidRPr="00CE22DB">
        <w:t>with</w:t>
      </w:r>
      <w:r w:rsidRPr="00CE22DB">
        <w:t xml:space="preserve"> </w:t>
      </w:r>
      <w:proofErr w:type="spellStart"/>
      <w:r w:rsidRPr="00CE22DB">
        <w:t>gutSMASH</w:t>
      </w:r>
      <w:proofErr w:type="spellEnd"/>
      <w:r w:rsidRPr="00CE22DB">
        <w:t xml:space="preserve"> pathways.</w:t>
      </w:r>
      <w:bookmarkEnd w:id="5"/>
      <w:r w:rsidR="00825E6A" w:rsidRPr="00CE22DB">
        <w:t xml:space="preserve"> </w:t>
      </w:r>
    </w:p>
    <w:p w14:paraId="2DF08A32" w14:textId="4BE8F8FA" w:rsidR="00AE5AE6" w:rsidRPr="00C74B96" w:rsidRDefault="00825E6A" w:rsidP="00CE22DB">
      <w:r w:rsidRPr="00CE22DB">
        <w:rPr>
          <w:b/>
        </w:rPr>
        <w:t>A.</w:t>
      </w:r>
      <w:r w:rsidR="002B4AF3" w:rsidRPr="00C74B96">
        <w:t xml:space="preserve"> Correlation between </w:t>
      </w:r>
      <w:r w:rsidR="00C66FC9" w:rsidRPr="00C74B96">
        <w:t xml:space="preserve">microbial glycine cleavage pathway and plasma hippuric acid levels. </w:t>
      </w:r>
      <w:r w:rsidR="00C66FC9" w:rsidRPr="00CE22DB">
        <w:rPr>
          <w:b/>
        </w:rPr>
        <w:t>B.</w:t>
      </w:r>
      <w:r w:rsidR="00C66FC9" w:rsidRPr="00C74B96">
        <w:t xml:space="preserve"> Correlation between microbial hydroxybenzoate to phenol pathway and plasma pheno</w:t>
      </w:r>
      <w:r w:rsidR="00580782" w:rsidRPr="00C74B96">
        <w:t>l</w:t>
      </w:r>
      <w:r w:rsidR="00C66FC9" w:rsidRPr="00C74B96">
        <w:t xml:space="preserve"> sulfate levels.</w:t>
      </w:r>
      <w:r w:rsidR="00776D85" w:rsidRPr="00C74B96">
        <w:t xml:space="preserve"> The upper part indicates the chemical transformation of the </w:t>
      </w:r>
      <w:proofErr w:type="spellStart"/>
      <w:r w:rsidR="00776D85" w:rsidRPr="00C74B96">
        <w:t>gutSMASH</w:t>
      </w:r>
      <w:proofErr w:type="spellEnd"/>
      <w:r w:rsidR="00776D85" w:rsidRPr="00C74B96">
        <w:t xml:space="preserve"> pathway</w:t>
      </w:r>
      <w:r w:rsidR="00580782" w:rsidRPr="00C74B96">
        <w:t>s</w:t>
      </w:r>
      <w:r w:rsidR="00776D85" w:rsidRPr="00C74B96">
        <w:t xml:space="preserve">. The lower part indicates the correlation between the pathway abundance (x-axis) and the plasma level of the corresponding metabolite (y-axis). </w:t>
      </w:r>
    </w:p>
    <w:p w14:paraId="5BAB1393" w14:textId="77777777" w:rsidR="00E13AE2" w:rsidRPr="00E13AE2" w:rsidRDefault="00E13AE2" w:rsidP="00E13AE2"/>
    <w:p w14:paraId="62107075" w14:textId="240A5FED" w:rsidR="007B125B" w:rsidRDefault="007B125B" w:rsidP="007B125B">
      <w:pPr>
        <w:spacing w:after="240"/>
        <w:rPr>
          <w:rFonts w:cs="Times New Roman"/>
          <w:b/>
          <w:color w:val="000000" w:themeColor="text1"/>
          <w:szCs w:val="22"/>
        </w:rPr>
      </w:pPr>
      <w:r>
        <w:rPr>
          <w:rFonts w:cs="Times New Roman"/>
          <w:b/>
          <w:noProof/>
          <w:color w:val="000000" w:themeColor="text1"/>
          <w:szCs w:val="22"/>
        </w:rPr>
        <w:drawing>
          <wp:inline distT="0" distB="0" distL="0" distR="0" wp14:anchorId="4AA08097" wp14:editId="2C7BCA3D">
            <wp:extent cx="5727700" cy="22840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S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ED1CD" w14:textId="77777777" w:rsidR="007B125B" w:rsidRDefault="007B125B" w:rsidP="007B125B">
      <w:pPr>
        <w:spacing w:after="240"/>
        <w:rPr>
          <w:rFonts w:cs="Times New Roman"/>
          <w:b/>
          <w:color w:val="000000" w:themeColor="text1"/>
          <w:szCs w:val="22"/>
        </w:rPr>
      </w:pPr>
    </w:p>
    <w:p w14:paraId="298F6869" w14:textId="77777777" w:rsidR="007B125B" w:rsidRDefault="007B125B" w:rsidP="007B125B">
      <w:pPr>
        <w:spacing w:after="240"/>
        <w:rPr>
          <w:rFonts w:cs="Times New Roman"/>
          <w:b/>
          <w:color w:val="000000" w:themeColor="text1"/>
          <w:szCs w:val="22"/>
        </w:rPr>
      </w:pPr>
    </w:p>
    <w:p w14:paraId="27D515FF" w14:textId="77777777" w:rsidR="007B125B" w:rsidRDefault="007B125B">
      <w:pPr>
        <w:widowControl/>
        <w:jc w:val="left"/>
        <w:rPr>
          <w:rFonts w:cs="Times New Roman"/>
          <w:b/>
          <w:color w:val="000000" w:themeColor="text1"/>
          <w:szCs w:val="22"/>
        </w:rPr>
      </w:pPr>
      <w:r>
        <w:rPr>
          <w:rFonts w:cs="Times New Roman"/>
          <w:b/>
          <w:color w:val="000000" w:themeColor="text1"/>
          <w:szCs w:val="22"/>
        </w:rPr>
        <w:br w:type="page"/>
      </w:r>
    </w:p>
    <w:p w14:paraId="49D95D1E" w14:textId="77777777" w:rsidR="00CE22DB" w:rsidRDefault="00AE5AE6" w:rsidP="00CE22DB">
      <w:pPr>
        <w:pStyle w:val="Heading1"/>
        <w:rPr>
          <w:rFonts w:cs="Times New Roman"/>
        </w:rPr>
      </w:pPr>
      <w:bookmarkStart w:id="6" w:name="_Toc76380117"/>
      <w:r w:rsidRPr="00CE22DB">
        <w:lastRenderedPageBreak/>
        <w:t xml:space="preserve">Figure S6. Leave-one-out sensitivity analysis for significant MR </w:t>
      </w:r>
      <w:r w:rsidR="00721CBE" w:rsidRPr="00CE22DB">
        <w:t>linkages</w:t>
      </w:r>
      <w:r w:rsidRPr="00C74B96">
        <w:rPr>
          <w:rFonts w:cs="Times New Roman"/>
        </w:rPr>
        <w:t>.</w:t>
      </w:r>
      <w:bookmarkEnd w:id="6"/>
      <w:r w:rsidR="007D180B" w:rsidRPr="00C74B96">
        <w:rPr>
          <w:rFonts w:cs="Times New Roman"/>
        </w:rPr>
        <w:t xml:space="preserve"> </w:t>
      </w:r>
    </w:p>
    <w:p w14:paraId="51E611FC" w14:textId="41306BC2" w:rsidR="007B125B" w:rsidRPr="00C74B96" w:rsidRDefault="00381D00" w:rsidP="00CE22DB">
      <w:r w:rsidRPr="00C74B96">
        <w:t xml:space="preserve">Forest plots of MR leave-one-out sensitivity results (IVW method) on </w:t>
      </w:r>
      <w:r w:rsidR="007D180B" w:rsidRPr="00C74B96">
        <w:t xml:space="preserve">7 significant bi-directional MR linkages in the LLD baseline and follow-up. </w:t>
      </w:r>
      <w:r w:rsidRPr="00C74B96">
        <w:t>Bars represent 95% confidence intervals and X-axis represent effect size of MR.</w:t>
      </w:r>
    </w:p>
    <w:p w14:paraId="171668FC" w14:textId="77777777" w:rsidR="00E13AE2" w:rsidRPr="00E13AE2" w:rsidRDefault="00E13AE2" w:rsidP="00C74B96"/>
    <w:p w14:paraId="67A2AB50" w14:textId="4C8D13F0" w:rsidR="004A7643" w:rsidRDefault="007D180B" w:rsidP="007D180B">
      <w:pPr>
        <w:jc w:val="left"/>
      </w:pPr>
      <w:r>
        <w:rPr>
          <w:noProof/>
        </w:rPr>
        <w:drawing>
          <wp:inline distT="0" distB="0" distL="0" distR="0" wp14:anchorId="5B42CE5B" wp14:editId="690B9251">
            <wp:extent cx="3578578" cy="7374650"/>
            <wp:effectExtent l="0" t="0" r="3175" b="4445"/>
            <wp:docPr id="4" name="图片 4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图形用户界面&#10;&#10;描述已自动生成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6" r="14312"/>
                    <a:stretch/>
                  </pic:blipFill>
                  <pic:spPr bwMode="auto">
                    <a:xfrm>
                      <a:off x="0" y="0"/>
                      <a:ext cx="3584370" cy="738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A7643" w:rsidSect="00946108">
      <w:footerReference w:type="even" r:id="rId14"/>
      <w:footerReference w:type="default" r:id="rId15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66B4CA" w14:textId="77777777" w:rsidR="00783955" w:rsidRDefault="00783955" w:rsidP="000A6EBF">
      <w:r>
        <w:separator/>
      </w:r>
    </w:p>
  </w:endnote>
  <w:endnote w:type="continuationSeparator" w:id="0">
    <w:p w14:paraId="5C150812" w14:textId="77777777" w:rsidR="00783955" w:rsidRDefault="00783955" w:rsidP="000A6E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889256154"/>
      <w:docPartObj>
        <w:docPartGallery w:val="Page Numbers (Bottom of Page)"/>
        <w:docPartUnique/>
      </w:docPartObj>
    </w:sdtPr>
    <w:sdtContent>
      <w:p w14:paraId="089C66E4" w14:textId="45862E7D" w:rsidR="000A6EBF" w:rsidRDefault="000A6EBF" w:rsidP="00B7764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40BED52" w14:textId="77777777" w:rsidR="000A6EBF" w:rsidRDefault="000A6E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074814576"/>
      <w:docPartObj>
        <w:docPartGallery w:val="Page Numbers (Bottom of Page)"/>
        <w:docPartUnique/>
      </w:docPartObj>
    </w:sdtPr>
    <w:sdtContent>
      <w:p w14:paraId="45D63D23" w14:textId="669FFC67" w:rsidR="000A6EBF" w:rsidRDefault="000A6EBF" w:rsidP="00B7764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8B2FE65" w14:textId="77777777" w:rsidR="000A6EBF" w:rsidRDefault="000A6E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40ED68" w14:textId="77777777" w:rsidR="00783955" w:rsidRDefault="00783955" w:rsidP="000A6EBF">
      <w:r>
        <w:separator/>
      </w:r>
    </w:p>
  </w:footnote>
  <w:footnote w:type="continuationSeparator" w:id="0">
    <w:p w14:paraId="03B2D24C" w14:textId="77777777" w:rsidR="00783955" w:rsidRDefault="00783955" w:rsidP="000A6E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CF2333"/>
    <w:multiLevelType w:val="hybridMultilevel"/>
    <w:tmpl w:val="FD205B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AD7290"/>
    <w:multiLevelType w:val="hybridMultilevel"/>
    <w:tmpl w:val="821CCD9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AE6"/>
    <w:rsid w:val="000A6EBF"/>
    <w:rsid w:val="000B4313"/>
    <w:rsid w:val="00285710"/>
    <w:rsid w:val="002B4AF3"/>
    <w:rsid w:val="00381D00"/>
    <w:rsid w:val="00493610"/>
    <w:rsid w:val="005512DC"/>
    <w:rsid w:val="00580782"/>
    <w:rsid w:val="005D0CFE"/>
    <w:rsid w:val="0063182C"/>
    <w:rsid w:val="00675159"/>
    <w:rsid w:val="00721CBE"/>
    <w:rsid w:val="00753BB0"/>
    <w:rsid w:val="00776D85"/>
    <w:rsid w:val="00783955"/>
    <w:rsid w:val="007B125B"/>
    <w:rsid w:val="007D180B"/>
    <w:rsid w:val="00825E6A"/>
    <w:rsid w:val="008B71F3"/>
    <w:rsid w:val="00946108"/>
    <w:rsid w:val="00966E27"/>
    <w:rsid w:val="009A4121"/>
    <w:rsid w:val="00A03F09"/>
    <w:rsid w:val="00A56B03"/>
    <w:rsid w:val="00AE5AE6"/>
    <w:rsid w:val="00B4124E"/>
    <w:rsid w:val="00B65043"/>
    <w:rsid w:val="00BE7123"/>
    <w:rsid w:val="00C578E1"/>
    <w:rsid w:val="00C66FC9"/>
    <w:rsid w:val="00C74B96"/>
    <w:rsid w:val="00CE22DB"/>
    <w:rsid w:val="00D4634B"/>
    <w:rsid w:val="00E02FF3"/>
    <w:rsid w:val="00E13AE2"/>
    <w:rsid w:val="00E17856"/>
    <w:rsid w:val="00F158B9"/>
    <w:rsid w:val="00F95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3A1FA88"/>
  <w14:defaultImageDpi w14:val="32767"/>
  <w15:chartTrackingRefBased/>
  <w15:docId w15:val="{E27FFF5A-ABDA-DF44-8EBE-85A1EF89F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E22DB"/>
    <w:pPr>
      <w:widowControl w:val="0"/>
      <w:jc w:val="both"/>
    </w:pPr>
    <w:rPr>
      <w:rFonts w:ascii="Times New Roman" w:hAnsi="Times New Roman"/>
      <w:kern w:val="2"/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58B9"/>
    <w:pPr>
      <w:keepNext/>
      <w:keepLines/>
      <w:spacing w:before="240"/>
      <w:outlineLvl w:val="0"/>
    </w:pPr>
    <w:rPr>
      <w:rFonts w:eastAsiaTheme="majorEastAsia" w:cstheme="majorBidi"/>
      <w:color w:val="000000" w:themeColor="text1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58B9"/>
    <w:rPr>
      <w:rFonts w:ascii="Times New Roman" w:eastAsiaTheme="majorEastAsia" w:hAnsi="Times New Roman" w:cstheme="majorBidi"/>
      <w:color w:val="000000" w:themeColor="text1"/>
      <w:kern w:val="2"/>
      <w:sz w:val="22"/>
      <w:szCs w:val="32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E13AE2"/>
    <w:pPr>
      <w:widowControl/>
      <w:spacing w:before="480" w:line="276" w:lineRule="auto"/>
      <w:jc w:val="left"/>
      <w:outlineLvl w:val="9"/>
    </w:pPr>
    <w:rPr>
      <w:rFonts w:asciiTheme="majorHAnsi" w:hAnsiTheme="majorHAnsi"/>
      <w:b/>
      <w:bCs/>
      <w:color w:val="2F5496" w:themeColor="accent1" w:themeShade="BF"/>
      <w:kern w:val="0"/>
      <w:sz w:val="28"/>
      <w:szCs w:val="28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E13AE2"/>
    <w:pPr>
      <w:spacing w:before="120"/>
      <w:jc w:val="left"/>
    </w:pPr>
    <w:rPr>
      <w:rFonts w:cstheme="minorHAnsi"/>
      <w:b/>
      <w:bCs/>
      <w:i/>
      <w:iCs/>
    </w:rPr>
  </w:style>
  <w:style w:type="character" w:styleId="Hyperlink">
    <w:name w:val="Hyperlink"/>
    <w:basedOn w:val="DefaultParagraphFont"/>
    <w:uiPriority w:val="99"/>
    <w:unhideWhenUsed/>
    <w:rsid w:val="00E13AE2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E13AE2"/>
    <w:pPr>
      <w:spacing w:before="120"/>
      <w:ind w:left="240"/>
      <w:jc w:val="left"/>
    </w:pPr>
    <w:rPr>
      <w:rFonts w:cstheme="minorHAnsi"/>
      <w:b/>
      <w:bCs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E13AE2"/>
    <w:pPr>
      <w:ind w:left="480"/>
      <w:jc w:val="left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E13AE2"/>
    <w:pPr>
      <w:ind w:left="720"/>
      <w:jc w:val="left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E13AE2"/>
    <w:pPr>
      <w:ind w:left="960"/>
      <w:jc w:val="left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E13AE2"/>
    <w:pPr>
      <w:ind w:left="1200"/>
      <w:jc w:val="left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E13AE2"/>
    <w:pPr>
      <w:ind w:left="1440"/>
      <w:jc w:val="left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E13AE2"/>
    <w:pPr>
      <w:ind w:left="1680"/>
      <w:jc w:val="left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E13AE2"/>
    <w:pPr>
      <w:ind w:left="1920"/>
      <w:jc w:val="left"/>
    </w:pPr>
    <w:rPr>
      <w:rFonts w:cstheme="minorHAns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3610"/>
    <w:rPr>
      <w:rFonts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610"/>
    <w:rPr>
      <w:rFonts w:ascii="Times New Roman" w:hAnsi="Times New Roman" w:cs="Times New Roman"/>
      <w:kern w:val="2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936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361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3610"/>
    <w:rPr>
      <w:kern w:val="2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36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3610"/>
    <w:rPr>
      <w:b/>
      <w:bCs/>
      <w:kern w:val="2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A6E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6EBF"/>
    <w:rPr>
      <w:rFonts w:ascii="Times New Roman" w:hAnsi="Times New Roman"/>
      <w:kern w:val="2"/>
      <w:sz w:val="2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0A6E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15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8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69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03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199EA01-153D-804D-9E87-D950D552C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7</Pages>
  <Words>530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Jingyuan Fu</dc:creator>
  <cp:keywords/>
  <dc:description/>
  <cp:lastModifiedBy>Jingyuan Fu</cp:lastModifiedBy>
  <cp:revision>23</cp:revision>
  <dcterms:created xsi:type="dcterms:W3CDTF">2021-07-02T07:10:00Z</dcterms:created>
  <dcterms:modified xsi:type="dcterms:W3CDTF">2021-07-05T10:22:00Z</dcterms:modified>
</cp:coreProperties>
</file>