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83" w:rsidRPr="009F5BAA" w:rsidRDefault="00863483" w:rsidP="00863483">
      <w:pPr>
        <w:rPr>
          <w:rFonts w:hAnsi="Calibri" w:cs="Calibri"/>
        </w:rPr>
      </w:pPr>
      <w:r w:rsidRPr="009F5BAA">
        <w:rPr>
          <w:rFonts w:hAnsi="Calibri" w:cs="Calibri"/>
          <w:b/>
        </w:rPr>
        <w:t>Supplementary Table.</w:t>
      </w:r>
      <w:r w:rsidRPr="009F5BAA">
        <w:rPr>
          <w:rFonts w:hAnsi="Calibri" w:cs="Calibri"/>
        </w:rPr>
        <w:t xml:space="preserve"> The risk of renal impairment in subjects with and without regular exercise stratified by the HBV and HCV status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2412"/>
        <w:gridCol w:w="2515"/>
        <w:gridCol w:w="2688"/>
        <w:gridCol w:w="1521"/>
      </w:tblGrid>
      <w:tr w:rsidR="00863483" w:rsidRPr="009F5BAA" w:rsidTr="009E2E28">
        <w:trPr>
          <w:tblHeader/>
        </w:trPr>
        <w:tc>
          <w:tcPr>
            <w:tcW w:w="172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483" w:rsidRPr="009F5BAA" w:rsidRDefault="00863483" w:rsidP="009E2E28">
            <w:pPr>
              <w:jc w:val="both"/>
              <w:rPr>
                <w:rFonts w:hAnsi="Calibri" w:cs="Calibri"/>
                <w:szCs w:val="24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szCs w:val="24"/>
              </w:rPr>
              <w:t>Number of chronic kidney disease (%)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szCs w:val="24"/>
              </w:rPr>
              <w:t xml:space="preserve">OR (95% CI) of </w:t>
            </w:r>
          </w:p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  <w:szCs w:val="24"/>
              </w:rPr>
              <w:t>Irregular exercise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i/>
                <w:szCs w:val="24"/>
              </w:rPr>
              <w:t>P</w:t>
            </w:r>
            <w:r w:rsidRPr="009F5BAA">
              <w:rPr>
                <w:rFonts w:hAnsi="Calibri" w:cs="Calibri"/>
                <w:sz w:val="22"/>
              </w:rPr>
              <w:t xml:space="preserve"> for interaction</w:t>
            </w:r>
          </w:p>
        </w:tc>
      </w:tr>
      <w:tr w:rsidR="00863483" w:rsidRPr="009F5BAA" w:rsidTr="009E2E28">
        <w:trPr>
          <w:tblHeader/>
        </w:trPr>
        <w:tc>
          <w:tcPr>
            <w:tcW w:w="17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3483" w:rsidRPr="009F5BAA" w:rsidRDefault="00863483" w:rsidP="009E2E28">
            <w:pPr>
              <w:jc w:val="both"/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szCs w:val="24"/>
              </w:rPr>
              <w:t>Subgroup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483" w:rsidRPr="009F5BAA" w:rsidRDefault="00863483" w:rsidP="009E2E28">
            <w:pPr>
              <w:jc w:val="center"/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szCs w:val="24"/>
              </w:rPr>
              <w:t>Irregular exercise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483" w:rsidRPr="009F5BAA" w:rsidRDefault="00863483" w:rsidP="009E2E2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9F5BAA">
              <w:rPr>
                <w:rFonts w:ascii="Calibri" w:hAnsi="Calibri" w:cs="Calibri"/>
              </w:rPr>
              <w:t>Adopt regular exercise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63483" w:rsidRPr="009F5BAA" w:rsidRDefault="00863483" w:rsidP="009E2E28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63483" w:rsidRPr="009F5BAA" w:rsidRDefault="00863483" w:rsidP="009E2E28"/>
        </w:tc>
      </w:tr>
      <w:tr w:rsidR="00863483" w:rsidRPr="009F5BAA" w:rsidTr="009E2E28">
        <w:tc>
          <w:tcPr>
            <w:tcW w:w="1727" w:type="pct"/>
            <w:tcBorders>
              <w:top w:val="single" w:sz="4" w:space="0" w:color="auto"/>
            </w:tcBorders>
            <w:shd w:val="clear" w:color="auto" w:fill="auto"/>
          </w:tcPr>
          <w:p w:rsidR="00863483" w:rsidRPr="009F5BAA" w:rsidRDefault="00863483" w:rsidP="009E2E28">
            <w:pPr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szCs w:val="24"/>
              </w:rPr>
              <w:t>HBV and HCV status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0.503</w:t>
            </w:r>
          </w:p>
        </w:tc>
      </w:tr>
      <w:tr w:rsidR="00863483" w:rsidRPr="009F5BAA" w:rsidTr="009E2E28">
        <w:tc>
          <w:tcPr>
            <w:tcW w:w="1727" w:type="pct"/>
            <w:shd w:val="clear" w:color="auto" w:fill="auto"/>
          </w:tcPr>
          <w:p w:rsidR="00863483" w:rsidRPr="009F5BAA" w:rsidRDefault="00863483" w:rsidP="009E2E28">
            <w:pPr>
              <w:ind w:left="240"/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szCs w:val="24"/>
              </w:rPr>
              <w:t>Non HBV and Non HCV</w:t>
            </w:r>
          </w:p>
        </w:tc>
        <w:tc>
          <w:tcPr>
            <w:tcW w:w="864" w:type="pct"/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185 (14.3)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65 (11.3)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1.30 (0.96–1.76)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</w:p>
        </w:tc>
      </w:tr>
      <w:tr w:rsidR="00863483" w:rsidRPr="009F5BAA" w:rsidTr="009E2E28">
        <w:tc>
          <w:tcPr>
            <w:tcW w:w="1727" w:type="pct"/>
            <w:shd w:val="clear" w:color="auto" w:fill="auto"/>
          </w:tcPr>
          <w:p w:rsidR="00863483" w:rsidRPr="009F5BAA" w:rsidRDefault="00863483" w:rsidP="009E2E28">
            <w:pPr>
              <w:ind w:left="240"/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szCs w:val="24"/>
              </w:rPr>
              <w:t>HBV only</w:t>
            </w:r>
          </w:p>
        </w:tc>
        <w:tc>
          <w:tcPr>
            <w:tcW w:w="864" w:type="pct"/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13 (9.0)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6 (8.8)</w:t>
            </w:r>
          </w:p>
        </w:tc>
        <w:tc>
          <w:tcPr>
            <w:tcW w:w="963" w:type="pct"/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1.02 (0.37–2.80)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</w:p>
        </w:tc>
      </w:tr>
      <w:tr w:rsidR="00863483" w:rsidRPr="009F5BAA" w:rsidTr="009E2E28">
        <w:tc>
          <w:tcPr>
            <w:tcW w:w="1727" w:type="pct"/>
            <w:shd w:val="clear" w:color="auto" w:fill="auto"/>
          </w:tcPr>
          <w:p w:rsidR="00863483" w:rsidRPr="009F5BAA" w:rsidRDefault="00863483" w:rsidP="009E2E28">
            <w:pPr>
              <w:ind w:left="240"/>
              <w:rPr>
                <w:rFonts w:hAnsi="Calibri" w:cs="Calibri"/>
                <w:szCs w:val="24"/>
              </w:rPr>
            </w:pPr>
            <w:r w:rsidRPr="009F5BAA">
              <w:rPr>
                <w:rFonts w:hAnsi="Calibri" w:cs="Calibri"/>
                <w:szCs w:val="24"/>
              </w:rPr>
              <w:t>HCV only</w:t>
            </w:r>
          </w:p>
        </w:tc>
        <w:tc>
          <w:tcPr>
            <w:tcW w:w="864" w:type="pct"/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59 (26.8)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14 (16.3)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  <w:r w:rsidRPr="009F5BAA">
              <w:rPr>
                <w:rFonts w:hAnsi="Calibri" w:cs="Calibri"/>
              </w:rPr>
              <w:t>1.88 (0.99–3.59)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63483" w:rsidRPr="009F5BAA" w:rsidRDefault="00863483" w:rsidP="009E2E28">
            <w:pPr>
              <w:jc w:val="center"/>
              <w:rPr>
                <w:rFonts w:hAnsi="Calibri" w:cs="Calibri"/>
              </w:rPr>
            </w:pPr>
          </w:p>
        </w:tc>
      </w:tr>
    </w:tbl>
    <w:p w:rsidR="00863483" w:rsidRPr="009F5BAA" w:rsidRDefault="00863483" w:rsidP="00863483">
      <w:pPr>
        <w:rPr>
          <w:rFonts w:eastAsia="MingLiU" w:hAnsi="Calibri" w:cs="Calibri"/>
          <w:szCs w:val="24"/>
        </w:rPr>
      </w:pPr>
      <w:r w:rsidRPr="009F5BAA">
        <w:rPr>
          <w:rFonts w:eastAsia="MingLiU" w:hAnsi="Calibri" w:cs="Calibri"/>
          <w:szCs w:val="24"/>
        </w:rPr>
        <w:t>HBV, hepatitis B virus; HCV, hepatitis C virus; OR, odds ratio; CI, confidence interval.</w:t>
      </w:r>
    </w:p>
    <w:p w:rsidR="00863483" w:rsidRPr="009F5BAA" w:rsidRDefault="00863483" w:rsidP="00863483">
      <w:pPr>
        <w:rPr>
          <w:rFonts w:eastAsia="MingLiU" w:hAnsi="Calibri" w:cs="Calibri"/>
          <w:szCs w:val="24"/>
        </w:rPr>
      </w:pPr>
    </w:p>
    <w:p w:rsidR="00863483" w:rsidRPr="009F5BAA" w:rsidRDefault="00863483" w:rsidP="00863483">
      <w:pPr>
        <w:rPr>
          <w:rFonts w:eastAsia="MingLiU" w:hAnsi="Calibri" w:cs="Calibri"/>
          <w:szCs w:val="24"/>
        </w:rPr>
      </w:pPr>
    </w:p>
    <w:p w:rsidR="00863483" w:rsidRPr="009F5BAA" w:rsidRDefault="00863483" w:rsidP="00863483">
      <w:pPr>
        <w:rPr>
          <w:rFonts w:eastAsia="MingLiU" w:hAnsi="Calibri" w:cs="Calibri"/>
          <w:szCs w:val="24"/>
        </w:rPr>
      </w:pPr>
    </w:p>
    <w:p w:rsidR="00863483" w:rsidRPr="009F5BAA" w:rsidRDefault="00863483" w:rsidP="00863483">
      <w:pPr>
        <w:rPr>
          <w:rFonts w:hAnsi="Calibri" w:cs="Calibri"/>
          <w:szCs w:val="24"/>
        </w:rPr>
      </w:pPr>
    </w:p>
    <w:p w:rsidR="00863483" w:rsidRPr="009F5BAA" w:rsidRDefault="00863483" w:rsidP="00863483">
      <w:pPr>
        <w:rPr>
          <w:rFonts w:hAnsi="Calibri" w:cs="Calibri"/>
          <w:szCs w:val="24"/>
        </w:rPr>
      </w:pPr>
    </w:p>
    <w:p w:rsidR="00863483" w:rsidRPr="009F5BAA" w:rsidRDefault="00863483" w:rsidP="00863483">
      <w:pPr>
        <w:rPr>
          <w:rFonts w:hAnsi="Calibri" w:cs="Calibri"/>
          <w:szCs w:val="24"/>
        </w:rPr>
      </w:pPr>
    </w:p>
    <w:p w:rsidR="00F4526F" w:rsidRDefault="00F4526F">
      <w:bookmarkStart w:id="0" w:name="_GoBack"/>
      <w:bookmarkEnd w:id="0"/>
    </w:p>
    <w:sectPr w:rsidR="00F4526F" w:rsidSect="00DB7EB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3"/>
    <w:rsid w:val="003A0A23"/>
    <w:rsid w:val="00863483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43978-9D6F-471C-98B0-CB9AFA15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3483"/>
    <w:pPr>
      <w:spacing w:after="0" w:line="240" w:lineRule="auto"/>
    </w:pPr>
    <w:rPr>
      <w:rFonts w:ascii="Calibri"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483"/>
    <w:pPr>
      <w:spacing w:after="0" w:line="240" w:lineRule="auto"/>
    </w:pPr>
    <w:rPr>
      <w:rFonts w:ascii="Calibri"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3483"/>
    <w:pPr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Springer Nature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2021-07-07T17:41:00Z</dcterms:created>
  <dcterms:modified xsi:type="dcterms:W3CDTF">2021-07-07T17:41:00Z</dcterms:modified>
</cp:coreProperties>
</file>