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Supplementary Tables</w:t>
      </w:r>
    </w:p>
    <w:p>
      <w:pPr>
        <w:rPr>
          <w:b/>
          <w:bCs/>
          <w:sz w:val="28"/>
          <w:szCs w:val="28"/>
        </w:rPr>
      </w:pP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Table I. </w:t>
      </w:r>
      <w:r>
        <w:rPr>
          <w:rFonts w:ascii="Arial" w:hAnsi="Arial" w:cs="Arial"/>
          <w:sz w:val="24"/>
          <w:szCs w:val="24"/>
        </w:rPr>
        <w:t>Enrollment and exclusions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980"/>
      </w:tblGrid>
      <w:tr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Initially Assigned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Died after cell infusion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Completed protocol</w:t>
            </w:r>
          </w:p>
        </w:tc>
      </w:tr>
      <w:tr>
        <w:trPr>
          <w:trHeight w:val="341"/>
        </w:trPr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Vehicle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>
        <w:trPr>
          <w:trHeight w:val="36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MSCs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>
        <w:trPr>
          <w:trHeight w:val="36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CMCs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>
        <w:trPr>
          <w:trHeight w:val="360"/>
        </w:trPr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</w:tr>
    </w:tbl>
    <w:p/>
    <w:p>
      <w:pPr>
        <w:rPr>
          <w:rFonts w:ascii="Arial" w:hAnsi="Arial" w:cs="Arial"/>
          <w:b/>
          <w:bCs/>
          <w:sz w:val="24"/>
          <w:szCs w:val="24"/>
        </w:rPr>
      </w:pPr>
    </w:p>
    <w:p>
      <w:pPr>
        <w:rPr>
          <w:rFonts w:ascii="Arial" w:hAnsi="Arial" w:cs="Arial"/>
          <w:b/>
          <w:bCs/>
          <w:sz w:val="24"/>
          <w:szCs w:val="24"/>
        </w:rPr>
      </w:pPr>
    </w:p>
    <w:p>
      <w:pPr>
        <w:rPr>
          <w:rFonts w:ascii="Arial" w:hAnsi="Arial" w:cs="Arial"/>
          <w:b/>
          <w:bCs/>
          <w:sz w:val="24"/>
          <w:szCs w:val="24"/>
        </w:rPr>
      </w:pPr>
    </w:p>
    <w:p>
      <w:r>
        <w:rPr>
          <w:rFonts w:ascii="Arial" w:hAnsi="Arial" w:cs="Arial"/>
          <w:b/>
          <w:bCs/>
          <w:sz w:val="24"/>
          <w:szCs w:val="24"/>
        </w:rPr>
        <w:t xml:space="preserve">Supplementary Table II. </w:t>
      </w:r>
      <w:r>
        <w:rPr>
          <w:rFonts w:ascii="Arial" w:hAnsi="Arial" w:cs="Arial"/>
          <w:sz w:val="24"/>
          <w:szCs w:val="24"/>
        </w:rPr>
        <w:t>Body Weight and Gross Measurements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320"/>
        <w:gridCol w:w="1560"/>
        <w:gridCol w:w="1440"/>
        <w:gridCol w:w="1680"/>
        <w:gridCol w:w="1920"/>
      </w:tblGrid>
      <w:tr>
        <w:trPr>
          <w:trHeight w:val="1090"/>
        </w:trPr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Initial body</w:t>
            </w:r>
          </w:p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weight, g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Final body</w:t>
            </w:r>
          </w:p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weight, g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LV weight, mg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LV chamber volume,</w:t>
            </w:r>
          </w:p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mm</w:t>
            </w: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Spleen weight index</w:t>
            </w:r>
          </w:p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(mg/g body weight)</w:t>
            </w:r>
          </w:p>
        </w:tc>
      </w:tr>
      <w:tr>
        <w:trPr>
          <w:trHeight w:val="350"/>
        </w:trPr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Vehicle (n=13)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160.4±5.7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202.8±6.0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547.0±21.1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197.0±26.0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2.54±0.17</w:t>
            </w:r>
          </w:p>
        </w:tc>
      </w:tr>
      <w:tr>
        <w:trPr>
          <w:trHeight w:val="3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MSCs (n=11)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150.3±2.3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190.9±1.2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652.4±41.1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154.1±27.4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2.70±0.20</w:t>
            </w:r>
          </w:p>
        </w:tc>
      </w:tr>
      <w:tr>
        <w:trPr>
          <w:trHeight w:val="3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CMCs (n=11)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160.4±6.5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201.0±5.1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537.3±11.9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145.2±27.1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2.62±0.21</w:t>
            </w:r>
          </w:p>
        </w:tc>
      </w:tr>
      <w:tr>
        <w:trPr>
          <w:trHeight w:val="350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CPCs (n=13)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154.6±4.8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197.7±3.7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561.0±27.3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176.8±22.0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2.27±0.06</w:t>
            </w:r>
          </w:p>
        </w:tc>
      </w:tr>
    </w:tbl>
    <w:p>
      <w:r>
        <w:t>Data are means ± SEM</w:t>
      </w:r>
    </w:p>
    <w:p>
      <w:r>
        <w:t>Spleen weight index were calculated as organ weight (milligram, mg) per gram (g) of rat body weight.</w:t>
      </w:r>
    </w:p>
    <w:p>
      <w:r>
        <w:br w:type="page"/>
      </w:r>
    </w:p>
    <w:p>
      <w:pPr>
        <w:rPr>
          <w:rFonts w:ascii="Arial" w:hAnsi="Arial" w:cs="Arial"/>
          <w:sz w:val="24"/>
          <w:szCs w:val="24"/>
        </w:rPr>
      </w:pPr>
      <w:bookmarkStart w:id="0" w:name="_Hlk75802205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Table III. </w:t>
      </w:r>
      <w:r>
        <w:rPr>
          <w:rFonts w:ascii="Arial" w:hAnsi="Arial" w:cs="Arial"/>
          <w:sz w:val="24"/>
          <w:szCs w:val="24"/>
        </w:rPr>
        <w:t>Echocardiographic data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943"/>
        <w:gridCol w:w="1657"/>
        <w:gridCol w:w="61"/>
        <w:gridCol w:w="90"/>
        <w:gridCol w:w="1946"/>
        <w:gridCol w:w="90"/>
        <w:gridCol w:w="1787"/>
        <w:gridCol w:w="90"/>
        <w:gridCol w:w="2086"/>
        <w:gridCol w:w="90"/>
      </w:tblGrid>
      <w:tr>
        <w:trPr>
          <w:gridAfter w:val="1"/>
          <w:wAfter w:w="90" w:type="dxa"/>
          <w:trHeight w:val="586"/>
        </w:trPr>
        <w:tc>
          <w:tcPr>
            <w:tcW w:w="20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bookmarkEnd w:id="0"/>
          <w:p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 xml:space="preserve">Vehicle </w:t>
            </w:r>
          </w:p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(n=13)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MSCs</w:t>
            </w:r>
          </w:p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(n=11)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CMCs</w:t>
            </w:r>
          </w:p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(n=11)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CPCs</w:t>
            </w:r>
          </w:p>
          <w:p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(n=13)</w:t>
            </w:r>
          </w:p>
        </w:tc>
      </w:tr>
      <w:tr>
        <w:trPr>
          <w:gridAfter w:val="1"/>
          <w:wAfter w:w="90" w:type="dxa"/>
          <w:trHeight w:val="480"/>
        </w:trPr>
        <w:tc>
          <w:tcPr>
            <w:tcW w:w="9840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kern w:val="24"/>
              </w:rPr>
              <w:t>Baseline (before MI)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Heart rate (bpm)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313.3±6.7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329.4±5.8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303.4±5.8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312.2±5.3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IW Td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1.25 ±0.05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1.12±0.04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1.22±0.03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1.19±0.04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IW Ts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2.08±0.11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1.87±0.07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1.96±0.10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1.93±0.08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LVEDD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5.40±0.09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5.21±0.15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5.30±0.10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5.30±0.16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LVESD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2.69±0.08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2.56±0.12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2.74±0.18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2.72±0.12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PWd</w:t>
            </w:r>
            <w:proofErr w:type="spellEnd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 xml:space="preserve">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1.48±0.06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1.51±0.05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1.40±0.03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1.38±0.05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PWs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2.41±0.05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2.46±0.07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2.34±0.06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2.23±0.04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 xml:space="preserve">IW </w:t>
            </w:r>
            <w:proofErr w:type="spellStart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ThF</w:t>
            </w:r>
            <w:proofErr w:type="spellEnd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 xml:space="preserve">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66.8±4.8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64.3±5.7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62.8±10.8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62.4±4.2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 xml:space="preserve">PW </w:t>
            </w:r>
            <w:proofErr w:type="spellStart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ThF</w:t>
            </w:r>
            <w:proofErr w:type="spellEnd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 xml:space="preserve">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63.6±3.4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62.5±3.3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67.3±3.0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62.8±4.1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firstLine="75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LVAd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(mm</w:t>
            </w:r>
            <w:r>
              <w:rPr>
                <w:rFonts w:ascii="Arial" w:eastAsia="Times New Roman" w:hAnsi="Arial" w:cs="Arial"/>
                <w:color w:val="000000"/>
                <w:kern w:val="24"/>
                <w:position w:val="7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46±1.1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43.8±1.4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45.4±1.8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42.6±2.0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firstLine="75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LVAs (mm</w:t>
            </w:r>
            <w:r>
              <w:rPr>
                <w:rFonts w:ascii="Arial" w:eastAsia="Times New Roman" w:hAnsi="Arial" w:cs="Arial"/>
                <w:color w:val="000000"/>
                <w:kern w:val="24"/>
                <w:position w:val="7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20.4±0.6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19.4±0.6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19.9±1.0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18.4±1.0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</w:rPr>
              <w:t>CO (ml/min)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41.3±1.9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39.8±2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40.5±2.2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37.7±2.3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EF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75.8±0.4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75.3±0.2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76.2±0.8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76.5±0.9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FS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19.1±0.9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20.8±1.1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18.5±1.2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20.5±0.9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SV (</w:t>
            </w:r>
            <w:r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</w:rPr>
              <w:t>µl)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133.0±4.7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122.0±6.3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132.1±7.2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120.2±7.2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LVEDV (</w:t>
            </w:r>
            <w:r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ja-JP"/>
              </w:rPr>
              <w:t>µl)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175.8±6.7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161.9±8.1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173.9±10.5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157.8±10.2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LVESV (</w:t>
            </w:r>
            <w:r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ja-JP"/>
              </w:rPr>
              <w:t>µl)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42.8±2.1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39.9±1.8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41.8±3.5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37.66±3.2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both"/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</w:pPr>
            <w:r>
              <w:t>FAC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</w:pPr>
            <w:r>
              <w:t>55.7±0.5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</w:pPr>
            <w:r>
              <w:t>55.5±0.4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</w:pPr>
            <w:r>
              <w:t>56.3±0.8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</w:pPr>
            <w:r>
              <w:t>57.0±1.0</w:t>
            </w:r>
          </w:p>
        </w:tc>
      </w:tr>
      <w:tr>
        <w:trPr>
          <w:gridAfter w:val="1"/>
          <w:wAfter w:w="90" w:type="dxa"/>
          <w:trHeight w:val="650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kern w:val="2"/>
                <w:sz w:val="20"/>
                <w:szCs w:val="20"/>
              </w:rPr>
              <w:t>30 days after MI (Pre-Rx)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Heart rate (bpm)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315.3±6.8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330.3±5.6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319.7±8.2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324.2±5.1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IW Td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0.91±0.04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0.85±0.04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0.92±0.04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0.91±0.05</w:t>
            </w:r>
            <w:r>
              <w:rPr>
                <w:i/>
                <w:vertAlign w:val="superscript"/>
              </w:rPr>
              <w:t>b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IW Ts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1.37±0.07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1.21±0.06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1.40±0.09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1.37±0.09</w:t>
            </w:r>
            <w:r>
              <w:rPr>
                <w:i/>
                <w:vertAlign w:val="superscript"/>
              </w:rPr>
              <w:t>b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LVEDD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6.50±0.22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6.69±0.16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6.50±0.21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6.71±0.19</w:t>
            </w:r>
            <w:r>
              <w:rPr>
                <w:i/>
                <w:vertAlign w:val="superscript"/>
              </w:rPr>
              <w:t>b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LVESD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4.64±0.18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4.69±0.21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4.75±0.21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4.80±0.24</w:t>
            </w:r>
            <w:r>
              <w:rPr>
                <w:i/>
                <w:vertAlign w:val="superscript"/>
              </w:rPr>
              <w:t>b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PWd</w:t>
            </w:r>
            <w:proofErr w:type="spellEnd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 xml:space="preserve">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1.29±0.05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1.36±0.09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1.26±0.07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1.42±0.09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PWs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1.97±0.10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2.08±0.08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1.90±0.11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2.11±0.10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 xml:space="preserve">IW </w:t>
            </w:r>
            <w:proofErr w:type="spellStart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ThF</w:t>
            </w:r>
            <w:proofErr w:type="spellEnd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 xml:space="preserve">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47.7±4.5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43.2±2.2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52.7±8.2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51±6.5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 xml:space="preserve">PW </w:t>
            </w:r>
            <w:proofErr w:type="spellStart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ThF</w:t>
            </w:r>
            <w:proofErr w:type="spellEnd"/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 xml:space="preserve">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54.3±3.8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56.5±6.5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52.4±6.8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51.4±6.1</w:t>
            </w:r>
          </w:p>
        </w:tc>
      </w:tr>
      <w:tr>
        <w:trPr>
          <w:gridBefore w:val="1"/>
          <w:wBefore w:w="90" w:type="dxa"/>
          <w:trHeight w:val="35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left="-10" w:firstLine="10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LVAd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(mm</w:t>
            </w:r>
            <w:r>
              <w:rPr>
                <w:rFonts w:ascii="Arial" w:eastAsia="Times New Roman" w:hAnsi="Arial" w:cs="Arial"/>
                <w:color w:val="000000"/>
                <w:kern w:val="24"/>
                <w:position w:val="7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54.4±2.0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51.3±1.4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51.8±2.5</w:t>
            </w:r>
            <w:r>
              <w:rPr>
                <w:i/>
                <w:vertAlign w:val="superscript"/>
              </w:rPr>
              <w:t>a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53.9±1.5</w:t>
            </w:r>
            <w:r>
              <w:rPr>
                <w:i/>
                <w:vertAlign w:val="superscript"/>
              </w:rPr>
              <w:t>b</w:t>
            </w:r>
          </w:p>
        </w:tc>
      </w:tr>
      <w:tr>
        <w:trPr>
          <w:gridBefore w:val="1"/>
          <w:wBefore w:w="90" w:type="dxa"/>
          <w:trHeight w:val="35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left="-10" w:firstLine="10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LVAs (mm</w:t>
            </w:r>
            <w:r>
              <w:rPr>
                <w:rFonts w:ascii="Arial" w:eastAsia="Times New Roman" w:hAnsi="Arial" w:cs="Arial"/>
                <w:color w:val="000000"/>
                <w:kern w:val="24"/>
                <w:position w:val="7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34.6±1.2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32.0±1.0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33.2±1.6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34.2±1.0</w:t>
            </w:r>
            <w:r>
              <w:rPr>
                <w:i/>
                <w:vertAlign w:val="superscript"/>
              </w:rPr>
              <w:t>b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</w:rPr>
              <w:lastRenderedPageBreak/>
              <w:t>CO (ml/min)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41.8±2.3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39.9±1.8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39.7±3.4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42.7±2.3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EF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52.9±0.6</w:t>
            </w:r>
            <w:r>
              <w:rPr>
                <w:rFonts w:ascii="Arial" w:eastAsia="SimSun" w:hAnsi="Arial" w:cs="Arial"/>
                <w:i/>
                <w:color w:val="000000"/>
                <w:kern w:val="24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52.9±0.3</w:t>
            </w:r>
            <w:r>
              <w:rPr>
                <w:rFonts w:ascii="Arial" w:eastAsia="SimSun" w:hAnsi="Arial" w:cs="Arial"/>
                <w:i/>
                <w:color w:val="000000"/>
                <w:kern w:val="24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52.0±0.8</w:t>
            </w:r>
            <w:r>
              <w:rPr>
                <w:rFonts w:ascii="Arial" w:eastAsia="SimSun" w:hAnsi="Arial" w:cs="Arial"/>
                <w:i/>
                <w:color w:val="000000"/>
                <w:kern w:val="24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52.3±0.8</w:t>
            </w:r>
            <w:r>
              <w:rPr>
                <w:rFonts w:ascii="Arial" w:eastAsia="SimSun" w:hAnsi="Arial" w:cs="Arial"/>
                <w:i/>
                <w:color w:val="000000"/>
                <w:kern w:val="24"/>
                <w:sz w:val="20"/>
                <w:szCs w:val="20"/>
                <w:vertAlign w:val="superscript"/>
              </w:rPr>
              <w:t>b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FS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13.4±1.1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15.8±0.8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13.7±1.1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13.5±1.3</w:t>
            </w:r>
            <w:r>
              <w:rPr>
                <w:i/>
                <w:vertAlign w:val="superscript"/>
              </w:rPr>
              <w:t>b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SV (</w:t>
            </w:r>
            <w:r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</w:rPr>
              <w:t>µl)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130.8±7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118.5±5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122.0±9.3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128.6±5.8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LVEDV (</w:t>
            </w:r>
            <w:r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ja-JP"/>
              </w:rPr>
              <w:t>µl)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247.3±12.5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227.0±9.1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234.5±17.3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245.8±10.4</w:t>
            </w:r>
            <w:r>
              <w:rPr>
                <w:i/>
                <w:vertAlign w:val="superscript"/>
              </w:rPr>
              <w:t>b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  <w:t>LVESV (</w:t>
            </w:r>
            <w:r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ja-JP"/>
              </w:rPr>
              <w:t>µl)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116.6±6.0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105.5±4.3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112.5±8.4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  <w:t>117.2±5.2</w:t>
            </w:r>
            <w:r>
              <w:rPr>
                <w:i/>
                <w:vertAlign w:val="superscript"/>
              </w:rPr>
              <w:t>b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both"/>
              <w:rPr>
                <w:rFonts w:ascii="Arial" w:eastAsia="MS Mincho" w:hAnsi="Arial" w:cs="Arial"/>
                <w:color w:val="000000"/>
                <w:kern w:val="2"/>
                <w:sz w:val="20"/>
                <w:szCs w:val="20"/>
              </w:rPr>
            </w:pPr>
            <w:r>
              <w:t>FAC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</w:pPr>
            <w:r>
              <w:t>36.1±0.6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</w:pPr>
            <w:r>
              <w:t>37.6±0.6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</w:pPr>
            <w:r>
              <w:t>35.8±0.8</w:t>
            </w:r>
            <w:r>
              <w:rPr>
                <w:i/>
                <w:vertAlign w:val="superscript"/>
              </w:rPr>
              <w:t>b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Arial" w:eastAsia="SimSun" w:hAnsi="Arial" w:cs="Arial"/>
                <w:color w:val="000000"/>
                <w:kern w:val="24"/>
                <w:sz w:val="20"/>
                <w:szCs w:val="20"/>
              </w:rPr>
            </w:pPr>
            <w:r>
              <w:t>36.5±0.8</w:t>
            </w:r>
            <w:r>
              <w:rPr>
                <w:i/>
                <w:vertAlign w:val="superscript"/>
              </w:rPr>
              <w:t>b</w:t>
            </w:r>
          </w:p>
        </w:tc>
      </w:tr>
      <w:tr>
        <w:trPr>
          <w:gridAfter w:val="1"/>
          <w:wAfter w:w="90" w:type="dxa"/>
          <w:trHeight w:val="480"/>
        </w:trPr>
        <w:tc>
          <w:tcPr>
            <w:tcW w:w="984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days after treatment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rate (bpm)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322.0±4.7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332±6.1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330.3±5.6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333.7±4.0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 Td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0.95±0.04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0.88±0.04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0.93±0.05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0.99±0.04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 Ts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1.45±0.05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1.33±0.06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1.35±0.08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1.43±0.06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LVEDD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6.96±0.13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7.00±0.14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6.62±0.22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6.77±0.11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LVESD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4.66±0.14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4.77±0.20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4.55±0.20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4.70±0.16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PWd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1.34±0.04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1.22±0.05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1.39±0.09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1.32±0.07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PWs (mm)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2.15±0.04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1.93±0.07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2.10±0.08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1.92±0.08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0.95±0.04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0.88±0.04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0.93±0.05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0.99±0.04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1.45±0.05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1.33±0.06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1.35±0.08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1.43±0.06</w:t>
            </w:r>
          </w:p>
        </w:tc>
      </w:tr>
      <w:tr>
        <w:trPr>
          <w:gridBefore w:val="1"/>
          <w:wBefore w:w="90" w:type="dxa"/>
          <w:trHeight w:val="35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>
            <w:pPr>
              <w:ind w:hanging="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LVAd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56.1±2.1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53.3±1.8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55.7±1.1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56.7±1.4</w:t>
            </w:r>
          </w:p>
        </w:tc>
      </w:tr>
      <w:tr>
        <w:trPr>
          <w:gridBefore w:val="1"/>
          <w:wBefore w:w="90" w:type="dxa"/>
          <w:trHeight w:val="35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>
            <w:pPr>
              <w:ind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LVAs (mm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36.7±1.6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33.5±1.1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34.3±0.8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33.2±1.0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(ml/min)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42.4±2.4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43.1±2.5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45.3±1.8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51.3±2.2</w:t>
            </w:r>
            <w:r>
              <w:rPr>
                <w:i/>
                <w:vertAlign w:val="superscript"/>
              </w:rPr>
              <w:t>e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50.7±0.6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53.5±0.5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54.8±0.8</w:t>
            </w:r>
            <w:bookmarkStart w:id="1" w:name="OLE_LINK26"/>
            <w:bookmarkStart w:id="2" w:name="OLE_LINK27"/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d</w:t>
            </w:r>
            <w:bookmarkEnd w:id="1"/>
            <w:bookmarkEnd w:id="2"/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58.8±0.8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df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13.2±1.1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15.4±0.8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14.8±0.9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16.4±1.0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 (µl)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129.4±7.4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127.3±6.4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136.6±5.6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156.1±6.2</w:t>
            </w:r>
            <w:r>
              <w:rPr>
                <w:i/>
                <w:vertAlign w:val="superscript"/>
              </w:rPr>
              <w:t>de</w:t>
            </w:r>
          </w:p>
        </w:tc>
      </w:tr>
      <w:tr>
        <w:trPr>
          <w:gridAfter w:val="1"/>
          <w:wAfter w:w="90" w:type="dxa"/>
          <w:trHeight w:val="350"/>
        </w:trPr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LVEDV (µl)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256.7±15.3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237.9±12.0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249.3±9.5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265.5±10.2</w:t>
            </w:r>
          </w:p>
        </w:tc>
      </w:tr>
      <w:tr>
        <w:trPr>
          <w:gridAfter w:val="1"/>
          <w:wAfter w:w="90" w:type="dxa"/>
          <w:trHeight w:val="273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LVESV (µl)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127.3±8.4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116.6±5.9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112.73±4.7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109.5±4.7</w:t>
            </w:r>
          </w:p>
        </w:tc>
      </w:tr>
      <w:tr>
        <w:trPr>
          <w:gridAfter w:val="1"/>
          <w:wAfter w:w="90" w:type="dxa"/>
          <w:trHeight w:val="300"/>
        </w:trPr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t>FAC (%)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34.7±0.7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37.1±0.5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38.4±0.7</w:t>
            </w:r>
            <w:r>
              <w:rPr>
                <w:i/>
                <w:vertAlign w:val="superscript"/>
              </w:rPr>
              <w:t xml:space="preserve"> f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41.5±0.9</w:t>
            </w:r>
            <w:r>
              <w:rPr>
                <w:i/>
                <w:vertAlign w:val="superscript"/>
              </w:rPr>
              <w:t>df</w:t>
            </w:r>
          </w:p>
        </w:tc>
      </w:tr>
    </w:tbl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are means ± SEM</w:t>
      </w:r>
    </w:p>
    <w:p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IW Td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infarcted wall thickness at end-diastole;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IW Ts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infarcted wall thickness at end-systole;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LVEDD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left ventricular end-diastolic diameter;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LVESD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</w:t>
      </w:r>
      <w:bookmarkStart w:id="3" w:name="_Hlk75813505"/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left ventricular end-systolic diameter; </w:t>
      </w:r>
      <w:bookmarkEnd w:id="3"/>
      <w:proofErr w:type="spellStart"/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PWd</w:t>
      </w:r>
      <w:proofErr w:type="spellEnd"/>
      <w:r>
        <w:rPr>
          <w:rFonts w:ascii="Arial" w:eastAsia="MS Mincho" w:hAnsi="Arial" w:cs="Arial"/>
          <w:kern w:val="2"/>
          <w:sz w:val="20"/>
          <w:szCs w:val="20"/>
          <w:lang w:eastAsia="ja-JP"/>
        </w:rPr>
        <w:t>, posterior wall thickness at end-diastole;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 xml:space="preserve"> PWs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posterior wall thickness at end-systole;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 xml:space="preserve">IW </w:t>
      </w:r>
      <w:proofErr w:type="spellStart"/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ThF</w:t>
      </w:r>
      <w:proofErr w:type="spellEnd"/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infarcted wall systolic thickening fraction;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 xml:space="preserve">PW </w:t>
      </w:r>
      <w:proofErr w:type="spellStart"/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ThF</w:t>
      </w:r>
      <w:proofErr w:type="spellEnd"/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posterior wall systolic thickening fraction; </w:t>
      </w:r>
      <w:proofErr w:type="spellStart"/>
      <w:r>
        <w:rPr>
          <w:rFonts w:ascii="Arial" w:eastAsia="MS Mincho" w:hAnsi="Arial" w:cs="Arial"/>
          <w:b/>
          <w:bCs/>
          <w:kern w:val="2"/>
          <w:sz w:val="20"/>
          <w:szCs w:val="20"/>
          <w:lang w:eastAsia="ja-JP"/>
        </w:rPr>
        <w:t>LVAd</w:t>
      </w:r>
      <w:proofErr w:type="spellEnd"/>
      <w:r>
        <w:rPr>
          <w:rFonts w:ascii="Arial" w:eastAsia="MS Mincho" w:hAnsi="Arial" w:cs="Arial"/>
          <w:b/>
          <w:bCs/>
          <w:kern w:val="2"/>
          <w:sz w:val="20"/>
          <w:szCs w:val="20"/>
          <w:lang w:eastAsia="ja-JP"/>
        </w:rPr>
        <w:t>,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 left ventricular end-diastolic area; </w:t>
      </w:r>
      <w:r>
        <w:rPr>
          <w:rFonts w:ascii="Arial" w:eastAsia="MS Mincho" w:hAnsi="Arial" w:cs="Arial"/>
          <w:b/>
          <w:bCs/>
          <w:kern w:val="2"/>
          <w:sz w:val="20"/>
          <w:szCs w:val="20"/>
          <w:lang w:eastAsia="ja-JP"/>
        </w:rPr>
        <w:t>LVAs,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 left ventricular end-systolic area;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CO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cardiac output;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EF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ejection fraction;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FS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fractional shortening;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SV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stroke volume;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LVEDV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left ventricular end-diastolic volume;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LVESV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>, left ventricular end-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lastRenderedPageBreak/>
        <w:t xml:space="preserve">systolic volume; and </w:t>
      </w:r>
      <w:r>
        <w:rPr>
          <w:rFonts w:ascii="Arial" w:eastAsia="MS Mincho" w:hAnsi="Arial" w:cs="Arial"/>
          <w:b/>
          <w:kern w:val="2"/>
          <w:sz w:val="20"/>
          <w:szCs w:val="20"/>
          <w:lang w:eastAsia="ja-JP"/>
        </w:rPr>
        <w:t>FAC</w:t>
      </w:r>
      <w:r>
        <w:rPr>
          <w:rFonts w:ascii="Arial" w:eastAsia="MS Mincho" w:hAnsi="Arial" w:cs="Arial"/>
          <w:kern w:val="2"/>
          <w:sz w:val="20"/>
          <w:szCs w:val="20"/>
          <w:lang w:eastAsia="ja-JP"/>
        </w:rPr>
        <w:t xml:space="preserve">, fractional area change. </w:t>
      </w:r>
      <w:r>
        <w:rPr>
          <w:rFonts w:ascii="Arial" w:hAnsi="Arial" w:cs="Arial"/>
          <w:i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&lt;0.05, and </w:t>
      </w:r>
      <w:r>
        <w:rPr>
          <w:rFonts w:ascii="Arial" w:hAnsi="Arial" w:cs="Arial"/>
          <w:i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&lt;0.01 vs. baseline; </w:t>
      </w:r>
      <w:r>
        <w:rPr>
          <w:rFonts w:ascii="Arial" w:hAnsi="Arial" w:cs="Arial"/>
          <w:i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&lt;0.05, and </w:t>
      </w:r>
      <w:r>
        <w:rPr>
          <w:rFonts w:ascii="Arial" w:hAnsi="Arial" w:cs="Arial"/>
          <w:i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&lt;0.01 vs. Pre-Rx; </w:t>
      </w:r>
      <w:r>
        <w:rPr>
          <w:rFonts w:ascii="Arial" w:hAnsi="Arial" w:cs="Arial"/>
          <w:i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&lt;0.05, and </w:t>
      </w:r>
      <w:r>
        <w:rPr>
          <w:rFonts w:ascii="Arial" w:hAnsi="Arial" w:cs="Arial"/>
          <w:i/>
          <w:sz w:val="20"/>
          <w:szCs w:val="20"/>
          <w:vertAlign w:val="superscript"/>
        </w:rPr>
        <w:t>f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&lt;0.01 vs. vehicle.</w:t>
      </w:r>
      <w: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Table IV. </w:t>
      </w:r>
      <w:r>
        <w:rPr>
          <w:rFonts w:ascii="Arial" w:hAnsi="Arial" w:cs="Arial"/>
          <w:sz w:val="24"/>
          <w:szCs w:val="24"/>
        </w:rPr>
        <w:t>Hemodynamic data</w:t>
      </w:r>
    </w:p>
    <w:tbl>
      <w:tblPr>
        <w:tblStyle w:val="TableGrid"/>
        <w:tblW w:w="990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620"/>
        <w:gridCol w:w="1530"/>
        <w:gridCol w:w="1440"/>
        <w:gridCol w:w="1440"/>
      </w:tblGrid>
      <w:tr>
        <w:trPr>
          <w:trHeight w:val="750"/>
        </w:trPr>
        <w:tc>
          <w:tcPr>
            <w:tcW w:w="387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Vehicle (n=13)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MSCs (n=11)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CMCs (n=11)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CPCs (n=13)</w:t>
            </w:r>
          </w:p>
        </w:tc>
      </w:tr>
      <w:tr>
        <w:trPr>
          <w:trHeight w:val="499"/>
        </w:trPr>
        <w:tc>
          <w:tcPr>
            <w:tcW w:w="3870" w:type="dxa"/>
            <w:tcBorders>
              <w:top w:val="single" w:sz="1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Heart rate (bpm)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328.4 ± 6.2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318.9 ± 5.4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315.6 ± 4.6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335.3 ± 8.9</w:t>
            </w:r>
          </w:p>
        </w:tc>
      </w:tr>
      <w:tr>
        <w:trPr>
          <w:trHeight w:val="499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End-systolic Volume (µL)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148.3 ± 5.0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143.8 ± 3.7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138.1 ± 5.4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124.4 ± 5.1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b</w:t>
            </w:r>
          </w:p>
        </w:tc>
      </w:tr>
      <w:tr>
        <w:trPr>
          <w:trHeight w:val="499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End-diastolic Volume (µL)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265.8 ± 8.4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264.1 ± 6.5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260.6 ± 9.8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260.6 ± 7.1</w:t>
            </w:r>
          </w:p>
        </w:tc>
      </w:tr>
      <w:tr>
        <w:trPr>
          <w:trHeight w:val="499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End-diastolic Pressure (mmHg)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 ± 0.4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 ± 0.4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 ± 0.6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 ± 0.3</w:t>
            </w:r>
          </w:p>
        </w:tc>
      </w:tr>
      <w:tr>
        <w:trPr>
          <w:trHeight w:val="499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Stroke Volume (µL)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117.6 ± 4.0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120.3 ± 4.3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122.5 ± 6.2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136.2 ± 4.8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</w:tr>
      <w:tr>
        <w:trPr>
          <w:trHeight w:val="499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Ejection Fraction (%)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 ± 0.7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52.1 ± 0.8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 ± 0.7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54.1 ± 0.5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b</w:t>
            </w:r>
          </w:p>
        </w:tc>
      </w:tr>
      <w:tr>
        <w:trPr>
          <w:trHeight w:val="499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Stroke Work (mmHg*µL)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 ± 0.3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± 0.5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 ± 0.5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 ± 0.4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b</w:t>
            </w:r>
          </w:p>
        </w:tc>
      </w:tr>
      <w:tr>
        <w:trPr>
          <w:trHeight w:val="499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(mmHg/sec)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 ± 95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 ± 139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8337 ± 150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7953 ± 90</w:t>
            </w:r>
          </w:p>
        </w:tc>
      </w:tr>
      <w:tr>
        <w:trPr>
          <w:trHeight w:val="499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(mmHg/sec)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-7066 ± 221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-7594 ± 176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-7867 ± 104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-7934 ± 111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b</w:t>
            </w:r>
          </w:p>
        </w:tc>
      </w:tr>
      <w:tr>
        <w:trPr>
          <w:trHeight w:val="499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V@dP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(µL)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265.3 ± 7.6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257.8 ± 7.3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244.8 ± 10.6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238.7 ± 9.2</w:t>
            </w:r>
          </w:p>
        </w:tc>
      </w:tr>
      <w:tr>
        <w:trPr>
          <w:trHeight w:val="499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V@dP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(µL)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148.9 ± 4.2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138.0 ± 3.8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 ± 5.2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122.2 ± 5.6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b</w:t>
            </w:r>
          </w:p>
        </w:tc>
      </w:tr>
      <w:tr>
        <w:trPr>
          <w:trHeight w:val="630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-EDV                   (mmHg/sec/µL)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 ± 1.0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 ± 1.3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 ± 1.8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 ± 1.2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</w:tr>
      <w:tr>
        <w:trPr>
          <w:trHeight w:val="630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End-Systolic Elastance          (mmHg/µL)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 ± 0.03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 ± 0.03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 ± 0.03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 ± 0.02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</w:tr>
      <w:tr>
        <w:trPr>
          <w:trHeight w:val="630"/>
        </w:trPr>
        <w:tc>
          <w:tcPr>
            <w:tcW w:w="3870" w:type="dxa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Preload Recruitable Stroke Work (mmHg)</w:t>
            </w:r>
          </w:p>
        </w:tc>
        <w:tc>
          <w:tcPr>
            <w:tcW w:w="162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56.5 ± 4.3</w:t>
            </w:r>
          </w:p>
        </w:tc>
        <w:tc>
          <w:tcPr>
            <w:tcW w:w="153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63.4 ± 5.3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 ± 6.3</w:t>
            </w:r>
          </w:p>
        </w:tc>
        <w:tc>
          <w:tcPr>
            <w:tcW w:w="1440" w:type="dxa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 ± 4.0</w:t>
            </w:r>
          </w:p>
        </w:tc>
      </w:tr>
      <w:tr>
        <w:trPr>
          <w:trHeight w:val="499"/>
        </w:trPr>
        <w:tc>
          <w:tcPr>
            <w:tcW w:w="3870" w:type="dxa"/>
            <w:tcBorders>
              <w:bottom w:val="single" w:sz="1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Tau_w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(msec)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 ± 0.2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± 0.2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 ± 0.3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 ± 0.2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>Data were means ± SEM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Tau_w</w:t>
      </w:r>
      <w:proofErr w:type="spellEnd"/>
      <w:r>
        <w:rPr>
          <w:rFonts w:ascii="Arial" w:hAnsi="Arial" w:cs="Arial"/>
          <w:sz w:val="20"/>
          <w:szCs w:val="20"/>
        </w:rPr>
        <w:t xml:space="preserve">, Tau-Weiss method; </w:t>
      </w:r>
      <w:r>
        <w:rPr>
          <w:rFonts w:ascii="Arial" w:hAnsi="Arial" w:cs="Arial"/>
          <w:b/>
          <w:sz w:val="20"/>
          <w:szCs w:val="20"/>
        </w:rPr>
        <w:t>EDV</w:t>
      </w:r>
      <w:r>
        <w:rPr>
          <w:rFonts w:ascii="Arial" w:hAnsi="Arial" w:cs="Arial"/>
          <w:sz w:val="20"/>
          <w:szCs w:val="20"/>
        </w:rPr>
        <w:t xml:space="preserve">, end-diastolic volume. </w:t>
      </w:r>
      <w:bookmarkStart w:id="4" w:name="_Hlk75946351"/>
      <w:r>
        <w:rPr>
          <w:rFonts w:ascii="Arial" w:hAnsi="Arial" w:cs="Arial"/>
          <w:i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&lt;0.05, and </w:t>
      </w:r>
      <w:r>
        <w:rPr>
          <w:rFonts w:ascii="Arial" w:hAnsi="Arial" w:cs="Arial"/>
          <w:i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&lt;0.01 vs. vehicle</w:t>
      </w:r>
      <w:bookmarkEnd w:id="4"/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B91FC-BC42-4E0A-B415-3E88E487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Xian-Liang</dc:creator>
  <cp:keywords/>
  <dc:description/>
  <cp:lastModifiedBy>Xian-Liang</cp:lastModifiedBy>
  <cp:revision>2</cp:revision>
  <cp:lastPrinted>2021-06-30T13:31:00Z</cp:lastPrinted>
  <dcterms:created xsi:type="dcterms:W3CDTF">2021-07-01T01:04:00Z</dcterms:created>
  <dcterms:modified xsi:type="dcterms:W3CDTF">2021-07-01T01:04:00Z</dcterms:modified>
</cp:coreProperties>
</file>