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2A02" w14:textId="0D279F91" w:rsidR="00DA4F5C" w:rsidRPr="004631EA" w:rsidRDefault="00DA4F5C" w:rsidP="00991086">
      <w:pPr>
        <w:jc w:val="center"/>
        <w:rPr>
          <w:rFonts w:ascii="Times New Roman" w:eastAsia="宋体" w:hAnsi="Times New Roman" w:cs="Times New Roman"/>
          <w:color w:val="FF0000"/>
          <w:kern w:val="0"/>
          <w:sz w:val="48"/>
          <w:szCs w:val="48"/>
        </w:rPr>
      </w:pPr>
      <w:r w:rsidRPr="004631EA">
        <w:rPr>
          <w:rFonts w:ascii="Times New Roman" w:eastAsia="宋体" w:hAnsi="Times New Roman" w:cs="Times New Roman"/>
          <w:color w:val="FF0000"/>
          <w:kern w:val="0"/>
          <w:sz w:val="48"/>
          <w:szCs w:val="48"/>
        </w:rPr>
        <w:t>Supplementary Information</w:t>
      </w:r>
    </w:p>
    <w:p w14:paraId="44212FF4" w14:textId="3F2A5B97" w:rsidR="00DA4F5C" w:rsidRDefault="00DA4F5C"/>
    <w:p w14:paraId="6BA2E487" w14:textId="77777777" w:rsidR="00991086" w:rsidRPr="00991086" w:rsidRDefault="00991086" w:rsidP="00991086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eastAsia="等线" w:hAnsi="Arial" w:cs="Times New Roman"/>
          <w:b/>
          <w:kern w:val="0"/>
          <w:sz w:val="36"/>
          <w:szCs w:val="20"/>
        </w:rPr>
      </w:pPr>
      <w:r w:rsidRPr="00991086">
        <w:rPr>
          <w:rFonts w:ascii="Arial" w:eastAsia="等线" w:hAnsi="Arial" w:cs="Times New Roman"/>
          <w:b/>
          <w:kern w:val="0"/>
          <w:sz w:val="36"/>
          <w:szCs w:val="20"/>
        </w:rPr>
        <w:t xml:space="preserve">Preparation, properties and mechanism of anionic </w:t>
      </w:r>
      <w:r w:rsidRPr="00991086">
        <w:rPr>
          <w:rFonts w:ascii="Arial" w:eastAsia="等线" w:hAnsi="Arial" w:cs="Times New Roman" w:hint="eastAsia"/>
          <w:b/>
          <w:kern w:val="0"/>
          <w:sz w:val="36"/>
          <w:szCs w:val="20"/>
        </w:rPr>
        <w:t>and</w:t>
      </w:r>
      <w:r w:rsidRPr="00991086">
        <w:rPr>
          <w:rFonts w:ascii="Arial" w:eastAsia="等线" w:hAnsi="Arial" w:cs="Times New Roman"/>
          <w:b/>
          <w:kern w:val="0"/>
          <w:sz w:val="36"/>
          <w:szCs w:val="20"/>
        </w:rPr>
        <w:t xml:space="preserve"> </w:t>
      </w:r>
      <w:r w:rsidRPr="00991086">
        <w:rPr>
          <w:rFonts w:ascii="Arial" w:eastAsia="等线" w:hAnsi="Arial" w:cs="Times New Roman" w:hint="eastAsia"/>
          <w:b/>
          <w:kern w:val="0"/>
          <w:sz w:val="36"/>
          <w:szCs w:val="20"/>
        </w:rPr>
        <w:t>cationic</w:t>
      </w:r>
      <w:r w:rsidRPr="00991086">
        <w:rPr>
          <w:rFonts w:ascii="Arial" w:eastAsia="等线" w:hAnsi="Arial" w:cs="Times New Roman"/>
          <w:b/>
          <w:kern w:val="0"/>
          <w:sz w:val="36"/>
          <w:szCs w:val="20"/>
        </w:rPr>
        <w:t xml:space="preserve"> CNCs/WPU composite films</w:t>
      </w:r>
    </w:p>
    <w:p w14:paraId="632604AE" w14:textId="77777777" w:rsidR="00991086" w:rsidRPr="00991086" w:rsidRDefault="00991086" w:rsidP="00991086">
      <w:pPr>
        <w:widowControl/>
        <w:overflowPunct w:val="0"/>
        <w:autoSpaceDE w:val="0"/>
        <w:autoSpaceDN w:val="0"/>
        <w:adjustRightInd w:val="0"/>
        <w:spacing w:before="120" w:line="360" w:lineRule="auto"/>
        <w:jc w:val="left"/>
        <w:textAlignment w:val="baseline"/>
        <w:rPr>
          <w:rFonts w:ascii="Times New Roman" w:eastAsia="等线" w:hAnsi="Times New Roman" w:cs="Times New Roman"/>
          <w:kern w:val="0"/>
          <w:sz w:val="24"/>
          <w:szCs w:val="20"/>
        </w:rPr>
      </w:pPr>
      <w:proofErr w:type="spellStart"/>
      <w:r w:rsidRPr="00991086">
        <w:rPr>
          <w:rFonts w:ascii="Times New Roman" w:eastAsia="等线" w:hAnsi="Times New Roman" w:cs="Times New Roman" w:hint="eastAsia"/>
          <w:kern w:val="0"/>
          <w:sz w:val="24"/>
          <w:szCs w:val="20"/>
        </w:rPr>
        <w:t>Ya</w:t>
      </w:r>
      <w:proofErr w:type="spellEnd"/>
      <w:r w:rsidRPr="00991086">
        <w:rPr>
          <w:rFonts w:ascii="Times New Roman" w:eastAsia="等线" w:hAnsi="Times New Roman" w:cs="Times New Roman" w:hint="eastAsia"/>
          <w:kern w:val="0"/>
          <w:sz w:val="24"/>
          <w:szCs w:val="20"/>
        </w:rPr>
        <w:t>-Yu Li</w:t>
      </w:r>
      <w:r w:rsidRPr="00991086">
        <w:rPr>
          <w:rFonts w:ascii="Times New Roman" w:eastAsia="等线" w:hAnsi="Times New Roman" w:cs="Times New Roman"/>
          <w:kern w:val="0"/>
          <w:sz w:val="24"/>
          <w:szCs w:val="20"/>
        </w:rPr>
        <w:t xml:space="preserve">, Yan-Ru Bai, Xin-Qian Zhang, Xin Liu, Zhen Dai, Hong-Ji Chen, </w:t>
      </w:r>
      <w:proofErr w:type="spellStart"/>
      <w:r w:rsidRPr="00991086">
        <w:rPr>
          <w:rFonts w:ascii="Times New Roman" w:eastAsia="等线" w:hAnsi="Times New Roman" w:cs="Times New Roman"/>
          <w:kern w:val="0"/>
          <w:sz w:val="24"/>
          <w:szCs w:val="20"/>
        </w:rPr>
        <w:t>Zun</w:t>
      </w:r>
      <w:proofErr w:type="spellEnd"/>
      <w:r w:rsidRPr="00991086">
        <w:rPr>
          <w:rFonts w:ascii="Times New Roman" w:eastAsia="等线" w:hAnsi="Times New Roman" w:cs="Times New Roman"/>
          <w:kern w:val="0"/>
          <w:sz w:val="24"/>
          <w:szCs w:val="20"/>
        </w:rPr>
        <w:t>-Qi Liu, Ming-Guo Ma</w:t>
      </w:r>
    </w:p>
    <w:p w14:paraId="5708898B" w14:textId="77777777" w:rsidR="00991086" w:rsidRPr="00991086" w:rsidRDefault="00991086">
      <w:pPr>
        <w:rPr>
          <w:rFonts w:hint="eastAsia"/>
        </w:rPr>
      </w:pPr>
    </w:p>
    <w:p w14:paraId="79FF3AA4" w14:textId="77777777" w:rsidR="00991086" w:rsidRPr="00991086" w:rsidRDefault="00991086" w:rsidP="00991086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</w:pPr>
      <w:r w:rsidRPr="00991086"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object w:dxaOrig="8507" w:dyaOrig="8529" w14:anchorId="4C372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15.3pt;height:416.45pt" o:ole="">
            <v:imagedata r:id="rId4" o:title=""/>
          </v:shape>
          <o:OLEObject Type="Embed" ProgID="Origin95.Graph" ShapeID="_x0000_i1031" DrawAspect="Content" ObjectID="_1691939802" r:id="rId5"/>
        </w:object>
      </w:r>
    </w:p>
    <w:p w14:paraId="35C5E6F0" w14:textId="0B223744" w:rsidR="00991086" w:rsidRDefault="00991086" w:rsidP="00991086">
      <w:pPr>
        <w:widowControl/>
        <w:overflowPunct w:val="0"/>
        <w:autoSpaceDE w:val="0"/>
        <w:autoSpaceDN w:val="0"/>
        <w:adjustRightInd w:val="0"/>
        <w:spacing w:before="120" w:line="360" w:lineRule="auto"/>
        <w:jc w:val="center"/>
        <w:textAlignment w:val="baseline"/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</w:pPr>
      <w:r w:rsidRPr="00991086">
        <w:rPr>
          <w:rFonts w:ascii="Times New Roman" w:eastAsia="等线" w:hAnsi="Times New Roman" w:cs="Times New Roman"/>
          <w:b/>
          <w:kern w:val="0"/>
          <w:sz w:val="18"/>
          <w:szCs w:val="18"/>
        </w:rPr>
        <w:t xml:space="preserve">Fig. </w:t>
      </w:r>
      <w:r>
        <w:rPr>
          <w:rFonts w:ascii="Times New Roman" w:eastAsia="等线" w:hAnsi="Times New Roman" w:cs="Times New Roman" w:hint="eastAsia"/>
          <w:b/>
          <w:kern w:val="0"/>
          <w:sz w:val="18"/>
          <w:szCs w:val="18"/>
        </w:rPr>
        <w:t>s</w:t>
      </w:r>
      <w:r w:rsidRPr="00991086">
        <w:rPr>
          <w:rFonts w:ascii="Times New Roman" w:eastAsia="等线" w:hAnsi="Times New Roman" w:cs="Times New Roman"/>
          <w:b/>
          <w:kern w:val="0"/>
          <w:sz w:val="18"/>
          <w:szCs w:val="18"/>
        </w:rPr>
        <w:t>1</w:t>
      </w:r>
      <w:r w:rsidRPr="00991086">
        <w:rPr>
          <w:rFonts w:ascii="Times New Roman" w:eastAsia="等线" w:hAnsi="Times New Roman" w:cs="Times New Roman"/>
          <w:bCs/>
          <w:kern w:val="0"/>
          <w:sz w:val="18"/>
          <w:szCs w:val="18"/>
        </w:rPr>
        <w:t xml:space="preserve"> </w:t>
      </w:r>
      <w:bookmarkStart w:id="0" w:name="_Hlk81325951"/>
      <w:r w:rsidRPr="00991086">
        <w:rPr>
          <w:rFonts w:ascii="Times New Roman" w:eastAsia="等线" w:hAnsi="Times New Roman" w:cs="Times New Roman"/>
          <w:bCs/>
          <w:kern w:val="0"/>
          <w:sz w:val="18"/>
          <w:szCs w:val="18"/>
        </w:rPr>
        <w:t xml:space="preserve">XRD patterns of </w:t>
      </w:r>
      <w:r w:rsidRPr="00991086">
        <w:rPr>
          <w:rFonts w:ascii="Times New Roman" w:eastAsia="等线" w:hAnsi="Times New Roman" w:cs="Times New Roman"/>
          <w:kern w:val="0"/>
          <w:sz w:val="18"/>
          <w:szCs w:val="20"/>
        </w:rPr>
        <w:t>three</w:t>
      </w:r>
      <w:r w:rsidRPr="00991086">
        <w:rPr>
          <w:rFonts w:ascii="Times New Roman" w:eastAsia="等线" w:hAnsi="Times New Roman" w:cs="Times New Roman"/>
          <w:bCs/>
          <w:kern w:val="0"/>
          <w:sz w:val="18"/>
          <w:szCs w:val="18"/>
        </w:rPr>
        <w:t xml:space="preserve"> kinds of CNCs</w:t>
      </w:r>
      <w:r w:rsidRPr="00991086">
        <w:rPr>
          <w:rFonts w:ascii="Times New Roman" w:eastAsia="等线" w:hAnsi="Times New Roman" w:cs="Times New Roman" w:hint="eastAsia"/>
          <w:bCs/>
          <w:kern w:val="0"/>
          <w:sz w:val="18"/>
          <w:szCs w:val="18"/>
        </w:rPr>
        <w:t>:</w:t>
      </w:r>
      <w:r w:rsidRPr="00991086">
        <w:rPr>
          <w:rFonts w:ascii="Times New Roman" w:eastAsia="等线" w:hAnsi="Times New Roman" w:cs="Times New Roman"/>
          <w:bCs/>
          <w:kern w:val="0"/>
          <w:sz w:val="18"/>
          <w:szCs w:val="18"/>
        </w:rPr>
        <w:t xml:space="preserve"> TOCNCs, </w:t>
      </w:r>
      <w:proofErr w:type="spellStart"/>
      <w:r w:rsidRPr="00991086">
        <w:rPr>
          <w:rFonts w:ascii="Times New Roman" w:eastAsia="等线" w:hAnsi="Times New Roman" w:cs="Times New Roman"/>
          <w:bCs/>
          <w:kern w:val="0"/>
          <w:sz w:val="18"/>
          <w:szCs w:val="18"/>
        </w:rPr>
        <w:t>CaCNCs</w:t>
      </w:r>
      <w:proofErr w:type="spellEnd"/>
      <w:r w:rsidRPr="00991086">
        <w:rPr>
          <w:rFonts w:ascii="Times New Roman" w:eastAsia="等线" w:hAnsi="Times New Roman" w:cs="Times New Roman"/>
          <w:bCs/>
          <w:kern w:val="0"/>
          <w:sz w:val="18"/>
          <w:szCs w:val="18"/>
        </w:rPr>
        <w:t>, and SCNCs.</w:t>
      </w:r>
      <w:bookmarkEnd w:id="0"/>
    </w:p>
    <w:p w14:paraId="3AAEEBEB" w14:textId="34C29F67" w:rsidR="00991086" w:rsidRDefault="00991086" w:rsidP="00991086">
      <w:pPr>
        <w:widowControl/>
        <w:overflowPunct w:val="0"/>
        <w:autoSpaceDE w:val="0"/>
        <w:autoSpaceDN w:val="0"/>
        <w:adjustRightInd w:val="0"/>
        <w:spacing w:before="120" w:line="360" w:lineRule="auto"/>
        <w:ind w:firstLineChars="200" w:firstLine="480"/>
        <w:jc w:val="left"/>
        <w:textAlignment w:val="baseline"/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</w:pPr>
    </w:p>
    <w:p w14:paraId="2872D09D" w14:textId="0FB82AAF" w:rsidR="00991086" w:rsidRPr="00991086" w:rsidRDefault="00991086" w:rsidP="00991086">
      <w:pPr>
        <w:widowControl/>
        <w:overflowPunct w:val="0"/>
        <w:autoSpaceDE w:val="0"/>
        <w:autoSpaceDN w:val="0"/>
        <w:adjustRightInd w:val="0"/>
        <w:spacing w:before="120" w:line="360" w:lineRule="auto"/>
        <w:ind w:firstLineChars="200" w:firstLine="480"/>
        <w:textAlignment w:val="baseline"/>
        <w:rPr>
          <w:rFonts w:ascii="Times New Roman" w:eastAsia="等线" w:hAnsi="Times New Roman" w:cs="Times New Roman" w:hint="eastAsia"/>
          <w:kern w:val="0"/>
          <w:sz w:val="24"/>
          <w:szCs w:val="20"/>
        </w:rPr>
      </w:pPr>
      <w:r>
        <w:rPr>
          <w:rFonts w:ascii="Times New Roman" w:eastAsia="等线" w:hAnsi="Times New Roman" w:cs="Times New Roman" w:hint="eastAsia"/>
          <w:kern w:val="0"/>
          <w:sz w:val="24"/>
          <w:szCs w:val="20"/>
        </w:rPr>
        <w:lastRenderedPageBreak/>
        <w:t>Fig</w:t>
      </w:r>
      <w:r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 xml:space="preserve">. s1 shows the </w:t>
      </w:r>
      <w:r w:rsidRPr="00991086"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 xml:space="preserve">XRD patterns of three kinds of CNCs: TOCNCs, </w:t>
      </w:r>
      <w:proofErr w:type="spellStart"/>
      <w:r w:rsidRPr="00991086"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>CaCNCs</w:t>
      </w:r>
      <w:proofErr w:type="spellEnd"/>
      <w:r w:rsidRPr="00991086"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>, and SCNCs.</w:t>
      </w:r>
      <w:r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 xml:space="preserve"> </w:t>
      </w:r>
      <w:r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>These three CNCs</w:t>
      </w:r>
      <w:r>
        <w:rPr>
          <w:rFonts w:ascii="Times New Roman" w:eastAsia="等线" w:hAnsi="Times New Roman" w:cs="Times New Roman" w:hint="eastAsia"/>
          <w:kern w:val="0"/>
          <w:sz w:val="24"/>
          <w:szCs w:val="20"/>
        </w:rPr>
        <w:t xml:space="preserve"> </w:t>
      </w:r>
      <w:r>
        <w:rPr>
          <w:rFonts w:ascii="Times New Roman" w:eastAsia="等线" w:hAnsi="Times New Roman" w:cs="Times New Roman"/>
          <w:kern w:val="0"/>
          <w:sz w:val="24"/>
          <w:szCs w:val="20"/>
        </w:rPr>
        <w:t>all</w:t>
      </w:r>
      <w:r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 xml:space="preserve"> appeared diffraction peaks at 15.0 </w:t>
      </w:r>
      <w:r w:rsidRPr="00991086">
        <w:rPr>
          <w:rFonts w:ascii="Times New Roman" w:eastAsia="等线" w:hAnsi="Times New Roman" w:cs="Times New Roman"/>
          <w:kern w:val="0"/>
          <w:sz w:val="24"/>
          <w:szCs w:val="20"/>
          <w:vertAlign w:val="superscript"/>
          <w:lang w:eastAsia="de-DE"/>
        </w:rPr>
        <w:t>o</w:t>
      </w:r>
      <w:r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 xml:space="preserve">, 16.8 </w:t>
      </w:r>
      <w:r w:rsidRPr="00991086">
        <w:rPr>
          <w:rFonts w:ascii="Times New Roman" w:eastAsia="等线" w:hAnsi="Times New Roman" w:cs="Times New Roman"/>
          <w:kern w:val="0"/>
          <w:sz w:val="24"/>
          <w:szCs w:val="20"/>
          <w:vertAlign w:val="superscript"/>
          <w:lang w:eastAsia="de-DE"/>
        </w:rPr>
        <w:t>o</w:t>
      </w:r>
      <w:r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 xml:space="preserve"> and 22.9</w:t>
      </w:r>
      <w:r w:rsidRPr="00991086">
        <w:rPr>
          <w:rFonts w:ascii="Times New Roman" w:eastAsia="等线" w:hAnsi="Times New Roman" w:cs="Times New Roman"/>
          <w:kern w:val="0"/>
          <w:sz w:val="24"/>
          <w:szCs w:val="20"/>
          <w:vertAlign w:val="superscript"/>
          <w:lang w:eastAsia="de-DE"/>
        </w:rPr>
        <w:t xml:space="preserve"> </w:t>
      </w:r>
      <w:r w:rsidRPr="00991086">
        <w:rPr>
          <w:rFonts w:ascii="Times New Roman" w:eastAsia="等线" w:hAnsi="Times New Roman" w:cs="Times New Roman"/>
          <w:kern w:val="0"/>
          <w:sz w:val="24"/>
          <w:szCs w:val="20"/>
          <w:vertAlign w:val="superscript"/>
          <w:lang w:eastAsia="de-DE"/>
        </w:rPr>
        <w:t>o</w:t>
      </w:r>
      <w:r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 xml:space="preserve">. </w:t>
      </w:r>
      <w:r>
        <w:rPr>
          <w:rFonts w:ascii="Times New Roman" w:eastAsia="等线" w:hAnsi="Times New Roman" w:cs="Times New Roman"/>
          <w:kern w:val="0"/>
          <w:sz w:val="24"/>
          <w:szCs w:val="20"/>
        </w:rPr>
        <w:t>This verified</w:t>
      </w:r>
      <w:r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 xml:space="preserve"> these three CNCs</w:t>
      </w:r>
      <w:r>
        <w:rPr>
          <w:rFonts w:ascii="Times New Roman" w:eastAsia="等线" w:hAnsi="Times New Roman" w:cs="Times New Roman" w:hint="eastAsia"/>
          <w:kern w:val="0"/>
          <w:sz w:val="24"/>
          <w:szCs w:val="20"/>
        </w:rPr>
        <w:t xml:space="preserve"> </w:t>
      </w:r>
      <w:r>
        <w:rPr>
          <w:rFonts w:ascii="Times New Roman" w:eastAsia="等线" w:hAnsi="Times New Roman" w:cs="Times New Roman"/>
          <w:kern w:val="0"/>
          <w:sz w:val="24"/>
          <w:szCs w:val="20"/>
        </w:rPr>
        <w:t xml:space="preserve">all reserved the cellulose I crystallinity. The small </w:t>
      </w:r>
      <w:r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>diffraction peak at 1</w:t>
      </w:r>
      <w:r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>0</w:t>
      </w:r>
      <w:r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>.</w:t>
      </w:r>
      <w:r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>4</w:t>
      </w:r>
      <w:r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 xml:space="preserve"> </w:t>
      </w:r>
      <w:r w:rsidRPr="00991086">
        <w:rPr>
          <w:rFonts w:ascii="Times New Roman" w:eastAsia="等线" w:hAnsi="Times New Roman" w:cs="Times New Roman"/>
          <w:kern w:val="0"/>
          <w:sz w:val="24"/>
          <w:szCs w:val="20"/>
          <w:vertAlign w:val="superscript"/>
          <w:lang w:eastAsia="de-DE"/>
        </w:rPr>
        <w:t>o</w:t>
      </w:r>
      <w:r w:rsidRPr="00991086"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 xml:space="preserve"> may come from </w:t>
      </w:r>
      <w:r>
        <w:rPr>
          <w:rFonts w:ascii="Times New Roman" w:eastAsia="等线" w:hAnsi="Times New Roman" w:cs="Times New Roman"/>
          <w:kern w:val="0"/>
          <w:sz w:val="24"/>
          <w:szCs w:val="20"/>
          <w:lang w:eastAsia="de-DE"/>
        </w:rPr>
        <w:t xml:space="preserve">a few impurities or test deviation of equipment. </w:t>
      </w:r>
    </w:p>
    <w:p w14:paraId="36F78295" w14:textId="77777777" w:rsidR="00991086" w:rsidRDefault="00991086">
      <w:pPr>
        <w:rPr>
          <w:rFonts w:hint="eastAsia"/>
        </w:rPr>
      </w:pPr>
    </w:p>
    <w:sectPr w:rsidR="00991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5C"/>
    <w:rsid w:val="004631EA"/>
    <w:rsid w:val="00991086"/>
    <w:rsid w:val="00DA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535E"/>
  <w15:chartTrackingRefBased/>
  <w15:docId w15:val="{53BCAAA7-D53E-4EEF-AAEE-F38910B1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yayu</dc:creator>
  <cp:keywords/>
  <dc:description/>
  <cp:lastModifiedBy>li yayu</cp:lastModifiedBy>
  <cp:revision>2</cp:revision>
  <dcterms:created xsi:type="dcterms:W3CDTF">2021-08-31T10:09:00Z</dcterms:created>
  <dcterms:modified xsi:type="dcterms:W3CDTF">2021-08-31T10:29:00Z</dcterms:modified>
</cp:coreProperties>
</file>