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Prognostic Nomogram for Sorafenib Benefit in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Hepatitis B Virus related </w:t>
      </w:r>
      <w:r>
        <w:rPr>
          <w:rFonts w:ascii="Times New Roman" w:hAnsi="Times New Roman" w:cs="Times New Roman"/>
          <w:b/>
          <w:bCs/>
          <w:sz w:val="28"/>
          <w:szCs w:val="28"/>
        </w:rPr>
        <w:t>Hepatocellular Carcinoma after Partial Hepatectomy</w:t>
      </w:r>
    </w:p>
    <w:p>
      <w:pPr>
        <w:spacing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Wei Dong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宋体" w:hAnsi="宋体"/>
          <w:sz w:val="28"/>
          <w:szCs w:val="28"/>
          <w:vertAlign w:val="superscript"/>
        </w:rPr>
        <w:t>†</w:t>
      </w:r>
      <w:r>
        <w:rPr>
          <w:rFonts w:hint="eastAsia" w:ascii="Times New Roman" w:hAnsi="Times New Roman"/>
          <w:sz w:val="28"/>
          <w:szCs w:val="28"/>
        </w:rPr>
        <w:t>, Kai Yan</w:t>
      </w:r>
      <w:r>
        <w:rPr>
          <w:rFonts w:hint="eastAsia" w:ascii="Times New Roman" w:hAnsi="Times New Roman"/>
          <w:sz w:val="28"/>
          <w:szCs w:val="28"/>
          <w:vertAlign w:val="superscript"/>
        </w:rPr>
        <w:t>3</w:t>
      </w:r>
      <w:r>
        <w:rPr>
          <w:rFonts w:hint="eastAsia" w:ascii="宋体" w:hAnsi="宋体"/>
          <w:sz w:val="28"/>
          <w:szCs w:val="28"/>
          <w:vertAlign w:val="superscript"/>
        </w:rPr>
        <w:t>†</w:t>
      </w:r>
      <w:r>
        <w:rPr>
          <w:rFonts w:hint="eastAsia" w:ascii="Times New Roman" w:hAnsi="Times New Roman"/>
          <w:sz w:val="28"/>
          <w:szCs w:val="28"/>
        </w:rPr>
        <w:t>, Hua Yu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宋体" w:hAnsi="宋体"/>
          <w:sz w:val="28"/>
          <w:szCs w:val="28"/>
          <w:vertAlign w:val="superscript"/>
        </w:rPr>
        <w:t>†</w:t>
      </w:r>
      <w:r>
        <w:rPr>
          <w:rFonts w:hint="eastAsia" w:ascii="Times New Roman" w:hAnsi="Times New Roman"/>
          <w:sz w:val="28"/>
          <w:szCs w:val="28"/>
        </w:rPr>
        <w:t>, Lei Huo</w:t>
      </w:r>
      <w:r>
        <w:rPr>
          <w:rFonts w:hint="eastAsia" w:ascii="Times New Roman" w:hAnsi="Times New Roman"/>
          <w:sz w:val="28"/>
          <w:szCs w:val="28"/>
          <w:vertAlign w:val="superscript"/>
        </w:rPr>
        <w:t>4</w:t>
      </w:r>
      <w:r>
        <w:rPr>
          <w:rFonts w:hint="eastAsia" w:ascii="Times New Roman" w:hAnsi="Times New Roman"/>
          <w:sz w:val="28"/>
          <w:szCs w:val="28"/>
        </w:rPr>
        <w:t>, Zhihong Xian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Times New Roman" w:hAnsi="Times New Roman"/>
          <w:sz w:val="28"/>
          <w:szCs w:val="28"/>
        </w:rPr>
        <w:t>, Yanqing Zhao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Times New Roman" w:hAnsi="Times New Roman"/>
          <w:sz w:val="28"/>
          <w:szCs w:val="28"/>
        </w:rPr>
        <w:t>, Jutang Li</w:t>
      </w:r>
      <w:r>
        <w:rPr>
          <w:rFonts w:hint="eastAsia" w:ascii="Times New Roman" w:hAnsi="Times New Roman"/>
          <w:sz w:val="28"/>
          <w:szCs w:val="28"/>
          <w:vertAlign w:val="superscript"/>
        </w:rPr>
        <w:t>5</w:t>
      </w:r>
      <w:r>
        <w:rPr>
          <w:rFonts w:hint="eastAsia" w:ascii="Times New Roman" w:hAnsi="Times New Roman"/>
          <w:sz w:val="28"/>
          <w:szCs w:val="28"/>
        </w:rPr>
        <w:t>, Yuchan Zhang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Times New Roman" w:hAnsi="Times New Roman"/>
          <w:sz w:val="28"/>
          <w:szCs w:val="28"/>
        </w:rPr>
        <w:t>, Zhenying Cao</w:t>
      </w:r>
      <w:r>
        <w:rPr>
          <w:rFonts w:hint="eastAsia" w:ascii="Times New Roman" w:hAnsi="Times New Roman"/>
          <w:sz w:val="28"/>
          <w:szCs w:val="28"/>
          <w:vertAlign w:val="superscript"/>
        </w:rPr>
        <w:t>1,2</w:t>
      </w:r>
      <w:r>
        <w:rPr>
          <w:rFonts w:hint="eastAsia" w:ascii="Times New Roman" w:hAnsi="Times New Roman"/>
          <w:sz w:val="28"/>
          <w:szCs w:val="28"/>
        </w:rPr>
        <w:t>, Yong Fu</w:t>
      </w:r>
      <w:r>
        <w:rPr>
          <w:rFonts w:hint="eastAsia" w:ascii="Times New Roman" w:hAnsi="Times New Roman"/>
          <w:sz w:val="28"/>
          <w:szCs w:val="28"/>
          <w:vertAlign w:val="superscript"/>
        </w:rPr>
        <w:t>3*</w:t>
      </w:r>
      <w:r>
        <w:rPr>
          <w:rFonts w:hint="eastAsia" w:ascii="Times New Roman" w:hAnsi="Times New Roman"/>
          <w:sz w:val="28"/>
          <w:szCs w:val="28"/>
        </w:rPr>
        <w:t>, Wenming Cong</w:t>
      </w:r>
      <w:r>
        <w:rPr>
          <w:rFonts w:hint="eastAsia" w:ascii="Times New Roman" w:hAnsi="Times New Roman"/>
          <w:sz w:val="28"/>
          <w:szCs w:val="28"/>
          <w:vertAlign w:val="superscript"/>
        </w:rPr>
        <w:t>1,2*</w:t>
      </w:r>
      <w:r>
        <w:rPr>
          <w:rFonts w:hint="eastAsia" w:ascii="Times New Roman" w:hAnsi="Times New Roman"/>
          <w:sz w:val="28"/>
          <w:szCs w:val="28"/>
        </w:rPr>
        <w:t>, Hui Dong</w:t>
      </w:r>
      <w:r>
        <w:rPr>
          <w:rFonts w:hint="eastAsia" w:ascii="Times New Roman" w:hAnsi="Times New Roman"/>
          <w:sz w:val="28"/>
          <w:szCs w:val="28"/>
          <w:vertAlign w:val="superscript"/>
        </w:rPr>
        <w:t>1,2*</w:t>
      </w:r>
    </w:p>
    <w:p>
      <w:pPr>
        <w:widowControl/>
        <w:spacing w:line="480" w:lineRule="auto"/>
        <w:jc w:val="left"/>
        <w:rPr>
          <w:rFonts w:ascii="Calibri" w:hAnsi="Calibri"/>
          <w:szCs w:val="21"/>
        </w:rPr>
      </w:pPr>
      <w:r>
        <w:rPr>
          <w:rFonts w:hint="eastAsia" w:ascii="Times New Roman" w:hAnsi="Times New Roman"/>
          <w:color w:val="000000"/>
          <w:kern w:val="0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 xml:space="preserve">Department of Pathology, Eastern Hepatobiliary Surgery Hospital, the Second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Military Medical University, 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Shanghai, China.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Key Laboratory of Signaling Regulation and Targeting Therapy of Liver Cancer,  the Second Military Medical University, 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Shanghai, China.</w:t>
      </w:r>
    </w:p>
    <w:p>
      <w:pPr>
        <w:widowControl/>
        <w:spacing w:line="480" w:lineRule="auto"/>
        <w:jc w:val="left"/>
        <w:rPr>
          <w:rFonts w:ascii="Calibri" w:hAnsi="Calibri"/>
          <w:szCs w:val="21"/>
        </w:rPr>
      </w:pPr>
      <w:r>
        <w:rPr>
          <w:rFonts w:hint="eastAsia" w:ascii="Times New Roman" w:hAnsi="Times New Roman"/>
          <w:color w:val="000000"/>
          <w:kern w:val="0"/>
          <w:sz w:val="24"/>
          <w:vertAlign w:val="superscript"/>
        </w:rPr>
        <w:t>3</w:t>
      </w: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>
        <w:rPr>
          <w:rFonts w:hint="eastAsia" w:ascii="Times New Roman" w:hAnsi="Times New Roman"/>
          <w:color w:val="000000"/>
          <w:kern w:val="0"/>
          <w:sz w:val="24"/>
        </w:rPr>
        <w:t>Fifth</w:t>
      </w:r>
      <w:r>
        <w:rPr>
          <w:rFonts w:ascii="Times New Roman" w:hAnsi="Times New Roman"/>
          <w:color w:val="000000"/>
          <w:kern w:val="0"/>
          <w:sz w:val="24"/>
        </w:rPr>
        <w:t xml:space="preserve"> Department of Hepatic Surgery, Eastern Hepatobiliary Surgery Hospital,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the Second Military Medical University, 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 xml:space="preserve">Shanghai, China. </w:t>
      </w:r>
    </w:p>
    <w:p>
      <w:pPr>
        <w:widowControl/>
        <w:spacing w:line="480" w:lineRule="auto"/>
        <w:jc w:val="left"/>
        <w:rPr>
          <w:rFonts w:ascii="Calibri" w:hAnsi="Calibri"/>
          <w:szCs w:val="21"/>
        </w:rPr>
      </w:pPr>
      <w:r>
        <w:rPr>
          <w:rFonts w:hint="eastAsia" w:ascii="Times New Roman" w:hAnsi="Times New Roman"/>
          <w:color w:val="000000"/>
          <w:kern w:val="0"/>
          <w:sz w:val="24"/>
          <w:vertAlign w:val="superscript"/>
        </w:rPr>
        <w:t>4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 Department of Radiology, </w:t>
      </w:r>
      <w:r>
        <w:rPr>
          <w:rFonts w:ascii="Times New Roman" w:hAnsi="Times New Roman"/>
          <w:color w:val="000000"/>
          <w:kern w:val="0"/>
          <w:sz w:val="24"/>
        </w:rPr>
        <w:t xml:space="preserve">Eastern Hepatobiliary Surgery Hospital, the Second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Military Medical University, 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Shanghai, China.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  <w:vertAlign w:val="superscript"/>
        </w:rPr>
        <w:t>5</w:t>
      </w:r>
      <w:r>
        <w:rPr>
          <w:rFonts w:ascii="Times New Roman" w:hAnsi="Times New Roman"/>
          <w:color w:val="000000"/>
          <w:kern w:val="0"/>
          <w:sz w:val="24"/>
        </w:rPr>
        <w:t xml:space="preserve">Department of </w:t>
      </w:r>
      <w:r>
        <w:rPr>
          <w:rFonts w:hint="eastAsia" w:ascii="Times New Roman" w:hAnsi="Times New Roman"/>
          <w:color w:val="000000"/>
          <w:kern w:val="0"/>
          <w:sz w:val="24"/>
        </w:rPr>
        <w:t>gynaecology and obstetrics</w:t>
      </w:r>
      <w:r>
        <w:rPr>
          <w:rFonts w:ascii="Times New Roman" w:hAnsi="Times New Roman"/>
          <w:color w:val="000000"/>
          <w:kern w:val="0"/>
          <w:sz w:val="24"/>
        </w:rPr>
        <w:t>, Tong Ren Hospital, Shanghai Jiao Tong University of Medicine, 1111# Xianxia Road,Shanghai</w:t>
      </w:r>
      <w:r>
        <w:rPr>
          <w:rFonts w:hint="eastAsia" w:ascii="Times New Roman" w:hAnsi="Times New Roman"/>
          <w:color w:val="000000"/>
          <w:kern w:val="0"/>
          <w:sz w:val="24"/>
        </w:rPr>
        <w:t>,</w:t>
      </w:r>
      <w:r>
        <w:rPr>
          <w:rFonts w:ascii="Times New Roman" w:hAnsi="Times New Roman"/>
          <w:color w:val="000000"/>
          <w:kern w:val="0"/>
          <w:sz w:val="24"/>
        </w:rPr>
        <w:t xml:space="preserve"> China</w:t>
      </w:r>
      <w:r>
        <w:rPr>
          <w:rFonts w:hint="eastAsia" w:ascii="Times New Roman" w:hAnsi="Times New Roman"/>
          <w:color w:val="000000"/>
          <w:kern w:val="0"/>
          <w:sz w:val="24"/>
        </w:rPr>
        <w:t>.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†</w:t>
      </w:r>
      <w:r>
        <w:rPr>
          <w:rFonts w:ascii="Times New Roman" w:hAnsi="Times New Roman"/>
          <w:color w:val="000000"/>
          <w:kern w:val="0"/>
          <w:sz w:val="24"/>
        </w:rPr>
        <w:t>These authors contributed equally to this work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* Correspondence: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Yong Fu</w:t>
      </w:r>
    </w:p>
    <w:p>
      <w:pPr>
        <w:widowControl/>
        <w:spacing w:line="480" w:lineRule="auto"/>
        <w:jc w:val="left"/>
        <w:rPr>
          <w:rFonts w:ascii="Calibri" w:hAnsi="Calibri"/>
          <w:szCs w:val="21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>
        <w:rPr>
          <w:rFonts w:hint="eastAsia" w:ascii="Times New Roman" w:hAnsi="Times New Roman"/>
          <w:color w:val="000000"/>
          <w:kern w:val="0"/>
          <w:sz w:val="24"/>
        </w:rPr>
        <w:t>Fifth</w:t>
      </w:r>
      <w:r>
        <w:rPr>
          <w:rFonts w:ascii="Times New Roman" w:hAnsi="Times New Roman"/>
          <w:color w:val="000000"/>
          <w:kern w:val="0"/>
          <w:sz w:val="24"/>
        </w:rPr>
        <w:t xml:space="preserve"> Department of Hepatic Surgery, Eastern Hepatobiliary Surgery Hospital,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the Second Military Medical University, 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Shanghai, China.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Email:fuyg1982@163.com;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 xml:space="preserve">Wen-Ming Cong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 xml:space="preserve">Department of Pathology, Eastern Hepatobiliary Surgery Hospital, </w:t>
      </w:r>
      <w:r>
        <w:rPr>
          <w:rFonts w:ascii="Times New Roman" w:hAnsi="Times New Roman"/>
          <w:color w:val="000000"/>
          <w:kern w:val="0"/>
          <w:sz w:val="24"/>
        </w:rPr>
        <w:t>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Shanghai,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 200438,</w:t>
      </w:r>
      <w:r>
        <w:rPr>
          <w:rFonts w:ascii="Times New Roman" w:hAnsi="Times New Roman"/>
          <w:color w:val="000000"/>
          <w:kern w:val="0"/>
          <w:sz w:val="24"/>
        </w:rPr>
        <w:t xml:space="preserve"> China.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Email wmcong@smmu.edu.cn ;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 xml:space="preserve">Hui Dong, Department of Pathology, Eastern </w:t>
      </w:r>
    </w:p>
    <w:p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 xml:space="preserve">Hepatobiliary Surgery Hospital, </w:t>
      </w:r>
      <w:r>
        <w:rPr>
          <w:rFonts w:ascii="Times New Roman" w:hAnsi="Times New Roman"/>
          <w:color w:val="000000"/>
          <w:kern w:val="0"/>
          <w:sz w:val="24"/>
        </w:rPr>
        <w:t>225# Changhai Road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 xml:space="preserve">Shanghai, </w:t>
      </w:r>
      <w:r>
        <w:rPr>
          <w:rFonts w:hint="eastAsia" w:ascii="Times New Roman" w:hAnsi="Times New Roman"/>
          <w:color w:val="000000"/>
          <w:kern w:val="0"/>
          <w:sz w:val="24"/>
        </w:rPr>
        <w:t xml:space="preserve">200438, </w:t>
      </w:r>
      <w:r>
        <w:rPr>
          <w:rFonts w:ascii="Times New Roman" w:hAnsi="Times New Roman"/>
          <w:color w:val="000000"/>
          <w:kern w:val="0"/>
          <w:sz w:val="24"/>
        </w:rPr>
        <w:t>China.</w:t>
      </w:r>
    </w:p>
    <w:p>
      <w:pPr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 xml:space="preserve">Email huidongwh@126.com </w:t>
      </w:r>
    </w:p>
    <w:p>
      <w:pPr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upplementary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Figure Legends</w:t>
      </w:r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Fig. S1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 xml:space="preserve"> The diagrams with the flow of HCC patients.</w:t>
      </w:r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  <w:bookmarkStart w:id="0" w:name="OLE_LINK1"/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Fig. S2 The indexes in predicting sorafenib benefit in patients stratified by prognostic factors.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The OS of patients in overall cohort stratified by levels of GPC3(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pERK(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b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pAKT(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Gender(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d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Age(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e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AFP(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MVI(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g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BCLC stage(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h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TNM stage(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i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Child-pugh stage(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j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ALT(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k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AST(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l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ALP(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m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Cre(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n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 were compared between the sorafenib and control cohorts.</w:t>
      </w:r>
      <w:bookmarkEnd w:id="0"/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Fig. S3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Kaplan-Meier survival curves of TTR in the sorafenib cohort.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 xml:space="preserve"> GPC3(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pERK(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b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pAKT(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BCLC staging system(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d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serum AST(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e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 and nomogram stage(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 of sorfenib cohort.</w:t>
      </w:r>
    </w:p>
    <w:p>
      <w:pP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 xml:space="preserve">Fig. S4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Kaplan-Meier survival curves of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OS in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control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 cohort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GPC3(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), pERK(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b)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, pAKT(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), BCLC staging system(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d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), serum AST(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e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) and nomogram stage(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) of control cohort.</w:t>
      </w: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Fig. S5 The nomogram stage in predicting sorafenib benefit in overall cohort.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 xml:space="preserve"> The OS were compared between the sorafenib and control cohorts of nomogram stageⅠ(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), stageⅡ(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b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 and stage Ⅲ(</w:t>
      </w:r>
      <w:r>
        <w:rPr>
          <w:rFonts w:hint="eastAsia" w:ascii="Times New Roman" w:hAnsi="Times New Roman" w:cs="Times New Roman"/>
          <w:b/>
          <w:bCs w:val="0"/>
          <w:sz w:val="20"/>
          <w:szCs w:val="20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/>
          <w:sz w:val="20"/>
          <w:szCs w:val="20"/>
          <w:lang w:val="en-US" w:eastAsia="zh-CN"/>
        </w:rPr>
        <w:t>).</w:t>
      </w: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vOT863180f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OTb83ee1dd.B+f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OT863180fb+f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ion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ewtimer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3CF9"/>
    <w:rsid w:val="001E7756"/>
    <w:rsid w:val="00257876"/>
    <w:rsid w:val="00613CF9"/>
    <w:rsid w:val="007A2475"/>
    <w:rsid w:val="007A7E91"/>
    <w:rsid w:val="008864A8"/>
    <w:rsid w:val="0095637F"/>
    <w:rsid w:val="00D1070B"/>
    <w:rsid w:val="00E308A8"/>
    <w:rsid w:val="00E424FF"/>
    <w:rsid w:val="049918E5"/>
    <w:rsid w:val="07804B12"/>
    <w:rsid w:val="07A34801"/>
    <w:rsid w:val="080774D9"/>
    <w:rsid w:val="0DC87CDE"/>
    <w:rsid w:val="0F6946BD"/>
    <w:rsid w:val="11DD7A7C"/>
    <w:rsid w:val="1C0446CF"/>
    <w:rsid w:val="24874496"/>
    <w:rsid w:val="24991CEB"/>
    <w:rsid w:val="250B7538"/>
    <w:rsid w:val="38A0508D"/>
    <w:rsid w:val="391D3E1C"/>
    <w:rsid w:val="3D067809"/>
    <w:rsid w:val="4E0C21F0"/>
    <w:rsid w:val="51433881"/>
    <w:rsid w:val="54532BF8"/>
    <w:rsid w:val="554D1641"/>
    <w:rsid w:val="58595F07"/>
    <w:rsid w:val="5C3607D6"/>
    <w:rsid w:val="5C9F5F33"/>
    <w:rsid w:val="64753179"/>
    <w:rsid w:val="71247D66"/>
    <w:rsid w:val="76C2109A"/>
    <w:rsid w:val="78D84CFA"/>
    <w:rsid w:val="7A667B41"/>
    <w:rsid w:val="7DBE5263"/>
    <w:rsid w:val="7E0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</w:pPr>
    <w:rPr>
      <w:rFonts w:ascii="Arial" w:hAnsi="Arial" w:eastAsia="宋体" w:cs="Arial"/>
      <w:kern w:val="2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1"/>
    <w:unhideWhenUsed/>
    <w:qFormat/>
    <w:uiPriority w:val="99"/>
    <w:pPr>
      <w:snapToGrid w:val="0"/>
    </w:pPr>
    <w:rPr>
      <w:rFonts w:eastAsiaTheme="minorEastAsia"/>
      <w:sz w:val="24"/>
      <w:szCs w:val="24"/>
    </w:rPr>
  </w:style>
  <w:style w:type="paragraph" w:styleId="4">
    <w:name w:val="Balloon Text"/>
    <w:basedOn w:val="1"/>
    <w:link w:val="34"/>
    <w:semiHidden/>
    <w:qFormat/>
    <w:uiPriority w:val="99"/>
    <w:rPr>
      <w:rFonts w:cs="Times New Roman" w:asciiTheme="minorHAnsi" w:hAnsiTheme="minorHAnsi" w:eastAsiaTheme="minorEastAsia"/>
      <w:sz w:val="18"/>
      <w:szCs w:val="18"/>
    </w:rPr>
  </w:style>
  <w:style w:type="paragraph" w:styleId="5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rFonts w:cs="Times New Roman" w:asciiTheme="minorHAnsi" w:hAnsiTheme="minorHAnsi" w:eastAsiaTheme="minorEastAsia"/>
      <w:sz w:val="18"/>
      <w:szCs w:val="18"/>
    </w:rPr>
  </w:style>
  <w:style w:type="paragraph" w:styleId="6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 w:asciiTheme="minorHAnsi" w:hAnsiTheme="minorHAnsi" w:eastAsiaTheme="minorEastAsia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35"/>
    <w:unhideWhenUsed/>
    <w:qFormat/>
    <w:uiPriority w:val="99"/>
    <w:rPr>
      <w:b/>
      <w:bCs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18"/>
      <w:szCs w:val="18"/>
    </w:rPr>
  </w:style>
  <w:style w:type="character" w:customStyle="1" w:styleId="13">
    <w:name w:val="标题 2 Char"/>
    <w:link w:val="2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4">
    <w:name w:val="EndNote Bibliography Title Char"/>
    <w:link w:val="15"/>
    <w:qFormat/>
    <w:locked/>
    <w:uiPriority w:val="99"/>
  </w:style>
  <w:style w:type="paragraph" w:customStyle="1" w:styleId="15">
    <w:name w:val="EndNote Bibliography Title"/>
    <w:basedOn w:val="1"/>
    <w:link w:val="14"/>
    <w:qFormat/>
    <w:uiPriority w:val="99"/>
    <w:pPr>
      <w:jc w:val="center"/>
    </w:pPr>
    <w:rPr>
      <w:rFonts w:asciiTheme="minorHAnsi" w:hAnsiTheme="minorHAnsi" w:eastAsiaTheme="minorEastAsia" w:cstheme="minorBidi"/>
      <w:sz w:val="21"/>
    </w:rPr>
  </w:style>
  <w:style w:type="character" w:customStyle="1" w:styleId="16">
    <w:name w:val="批注主题 Char"/>
    <w:link w:val="8"/>
    <w:qFormat/>
    <w:uiPriority w:val="99"/>
    <w:rPr>
      <w:rFonts w:ascii="Arial" w:hAnsi="Arial" w:cs="Arial"/>
      <w:b/>
      <w:bCs/>
      <w:sz w:val="24"/>
      <w:szCs w:val="24"/>
    </w:rPr>
  </w:style>
  <w:style w:type="character" w:customStyle="1" w:styleId="17">
    <w:name w:val="highlight"/>
    <w:basedOn w:val="10"/>
    <w:qFormat/>
    <w:uiPriority w:val="0"/>
  </w:style>
  <w:style w:type="character" w:customStyle="1" w:styleId="18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ntstyle31"/>
    <w:basedOn w:val="10"/>
    <w:qFormat/>
    <w:uiPriority w:val="0"/>
    <w:rPr>
      <w:rFonts w:hint="default" w:ascii="AdvOT863180fb" w:hAnsi="AdvOT863180fb"/>
      <w:color w:val="000000"/>
      <w:sz w:val="16"/>
      <w:szCs w:val="16"/>
    </w:rPr>
  </w:style>
  <w:style w:type="character" w:customStyle="1" w:styleId="20">
    <w:name w:val="fontstyle01"/>
    <w:basedOn w:val="10"/>
    <w:qFormat/>
    <w:uiPriority w:val="0"/>
    <w:rPr>
      <w:rFonts w:hint="default" w:ascii="Arial" w:hAnsi="Arial" w:cs="Arial"/>
      <w:color w:val="000000"/>
      <w:sz w:val="12"/>
      <w:szCs w:val="12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fontstyle11"/>
    <w:basedOn w:val="10"/>
    <w:qFormat/>
    <w:uiPriority w:val="0"/>
    <w:rPr>
      <w:rFonts w:hint="default" w:ascii="AdvOTb83ee1dd.B+fb" w:hAnsi="AdvOTb83ee1dd.B+fb"/>
      <w:color w:val="000000"/>
      <w:sz w:val="16"/>
      <w:szCs w:val="16"/>
    </w:rPr>
  </w:style>
  <w:style w:type="character" w:customStyle="1" w:styleId="24">
    <w:name w:val="fontstyle41"/>
    <w:basedOn w:val="10"/>
    <w:qFormat/>
    <w:uiPriority w:val="0"/>
    <w:rPr>
      <w:rFonts w:hint="default" w:ascii="AdvOT863180fb+fb" w:hAnsi="AdvOT863180fb+fb"/>
      <w:color w:val="000000"/>
      <w:sz w:val="16"/>
      <w:szCs w:val="16"/>
    </w:rPr>
  </w:style>
  <w:style w:type="character" w:customStyle="1" w:styleId="25">
    <w:name w:val="fontstyle21"/>
    <w:basedOn w:val="10"/>
    <w:qFormat/>
    <w:uiPriority w:val="0"/>
    <w:rPr>
      <w:rFonts w:hint="default" w:ascii="Minion-Italic" w:hAnsi="Minion-Italic"/>
      <w:i/>
      <w:iCs/>
      <w:color w:val="231F20"/>
      <w:sz w:val="18"/>
      <w:szCs w:val="18"/>
    </w:rPr>
  </w:style>
  <w:style w:type="character" w:customStyle="1" w:styleId="26">
    <w:name w:val="批注文字 Char"/>
    <w:link w:val="3"/>
    <w:qFormat/>
    <w:uiPriority w:val="99"/>
    <w:rPr>
      <w:rFonts w:ascii="Arial" w:hAnsi="Arial" w:cs="Arial"/>
      <w:sz w:val="24"/>
      <w:szCs w:val="24"/>
    </w:rPr>
  </w:style>
  <w:style w:type="character" w:customStyle="1" w:styleId="27">
    <w:name w:val="EndNote Bibliography Char"/>
    <w:link w:val="28"/>
    <w:qFormat/>
    <w:locked/>
    <w:uiPriority w:val="99"/>
  </w:style>
  <w:style w:type="paragraph" w:customStyle="1" w:styleId="28">
    <w:name w:val="EndNote Bibliography"/>
    <w:basedOn w:val="1"/>
    <w:link w:val="27"/>
    <w:qFormat/>
    <w:uiPriority w:val="99"/>
    <w:pPr>
      <w:spacing w:line="240" w:lineRule="auto"/>
    </w:pPr>
    <w:rPr>
      <w:rFonts w:asciiTheme="minorHAnsi" w:hAnsiTheme="minorHAnsi" w:eastAsiaTheme="minorEastAsia" w:cstheme="minorBidi"/>
      <w:sz w:val="21"/>
    </w:rPr>
  </w:style>
  <w:style w:type="character" w:customStyle="1" w:styleId="29">
    <w:name w:val="页脚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30">
    <w:name w:val="修订1"/>
    <w:unhideWhenUsed/>
    <w:qFormat/>
    <w:uiPriority w:val="99"/>
    <w:rPr>
      <w:rFonts w:ascii="Arial" w:hAnsi="Arial" w:eastAsia="宋体" w:cs="Arial"/>
      <w:kern w:val="2"/>
      <w:sz w:val="22"/>
      <w:szCs w:val="22"/>
      <w:lang w:val="en-US" w:eastAsia="zh-CN" w:bidi="ar-SA"/>
    </w:rPr>
  </w:style>
  <w:style w:type="character" w:customStyle="1" w:styleId="31">
    <w:name w:val="批注文字 Char1"/>
    <w:basedOn w:val="10"/>
    <w:link w:val="3"/>
    <w:semiHidden/>
    <w:qFormat/>
    <w:uiPriority w:val="99"/>
    <w:rPr>
      <w:rFonts w:ascii="Arial" w:hAnsi="Arial" w:eastAsia="宋体" w:cs="Arial"/>
      <w:sz w:val="22"/>
    </w:rPr>
  </w:style>
  <w:style w:type="character" w:customStyle="1" w:styleId="32">
    <w:name w:val="页眉 Char1"/>
    <w:basedOn w:val="10"/>
    <w:link w:val="6"/>
    <w:semiHidden/>
    <w:qFormat/>
    <w:uiPriority w:val="99"/>
    <w:rPr>
      <w:rFonts w:ascii="Arial" w:hAnsi="Arial" w:eastAsia="宋体" w:cs="Arial"/>
      <w:sz w:val="18"/>
      <w:szCs w:val="18"/>
    </w:rPr>
  </w:style>
  <w:style w:type="character" w:customStyle="1" w:styleId="33">
    <w:name w:val="页脚 Char1"/>
    <w:basedOn w:val="10"/>
    <w:link w:val="5"/>
    <w:semiHidden/>
    <w:qFormat/>
    <w:uiPriority w:val="99"/>
    <w:rPr>
      <w:rFonts w:ascii="Arial" w:hAnsi="Arial" w:eastAsia="宋体" w:cs="Arial"/>
      <w:sz w:val="18"/>
      <w:szCs w:val="18"/>
    </w:rPr>
  </w:style>
  <w:style w:type="character" w:customStyle="1" w:styleId="34">
    <w:name w:val="批注框文本 Char1"/>
    <w:basedOn w:val="10"/>
    <w:link w:val="4"/>
    <w:semiHidden/>
    <w:qFormat/>
    <w:uiPriority w:val="99"/>
    <w:rPr>
      <w:rFonts w:ascii="Arial" w:hAnsi="Arial" w:eastAsia="宋体" w:cs="Arial"/>
      <w:sz w:val="18"/>
      <w:szCs w:val="18"/>
    </w:rPr>
  </w:style>
  <w:style w:type="character" w:customStyle="1" w:styleId="35">
    <w:name w:val="批注主题 Char1"/>
    <w:basedOn w:val="31"/>
    <w:link w:val="8"/>
    <w:semiHidden/>
    <w:qFormat/>
    <w:uiPriority w:val="99"/>
    <w:rPr>
      <w:b/>
      <w:bCs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paragraph" w:customStyle="1" w:styleId="37">
    <w:name w:val="p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font41"/>
    <w:basedOn w:val="10"/>
    <w:qFormat/>
    <w:uiPriority w:val="0"/>
    <w:rPr>
      <w:rFonts w:hint="default" w:ascii="Newtimerome" w:hAnsi="Newtimerome" w:eastAsia="Newtimerome" w:cs="Newtimerome"/>
      <w:b/>
      <w:color w:val="000000"/>
      <w:sz w:val="22"/>
      <w:szCs w:val="22"/>
      <w:u w:val="none"/>
    </w:rPr>
  </w:style>
  <w:style w:type="character" w:customStyle="1" w:styleId="39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  <w:vertAlign w:val="superscript"/>
    </w:rPr>
  </w:style>
  <w:style w:type="character" w:customStyle="1" w:styleId="40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1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smmu</Company>
  <Pages>22</Pages>
  <Words>5972</Words>
  <Characters>34043</Characters>
  <Lines>283</Lines>
  <Paragraphs>79</Paragraphs>
  <TotalTime>1</TotalTime>
  <ScaleCrop>false</ScaleCrop>
  <LinksUpToDate>false</LinksUpToDate>
  <CharactersWithSpaces>39936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2020-05-04T14:31:00Z</dcterms:created>
  <dc:creator>pc</dc:creator>
  <cp:lastModifiedBy>小梦想</cp:lastModifiedBy>
  <dcterms:modified xsi:type="dcterms:W3CDTF">2020-08-24T04:17:27Z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