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19B2" w14:textId="77777777" w:rsidR="0031671A" w:rsidRDefault="0031671A">
      <w:pPr>
        <w:spacing w:line="360" w:lineRule="auto"/>
      </w:pPr>
    </w:p>
    <w:p w14:paraId="6F50B547" w14:textId="77777777" w:rsidR="0031671A" w:rsidRPr="0030639D" w:rsidRDefault="00214972">
      <w:pPr>
        <w:spacing w:line="360" w:lineRule="auto"/>
        <w:rPr>
          <w:rFonts w:ascii="Arial" w:eastAsia="Arial Bold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Figure 1</w:t>
      </w:r>
      <w:r w:rsidR="00461299" w:rsidRPr="00306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>shows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the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distribution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of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subjective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>pain</w:t>
      </w:r>
      <w:proofErr w:type="spellEnd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>intensity</w:t>
      </w:r>
      <w:proofErr w:type="spellEnd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 xml:space="preserve"> at </w:t>
      </w:r>
      <w:proofErr w:type="spellStart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>rest</w:t>
      </w:r>
      <w:proofErr w:type="spellEnd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 xml:space="preserve"> (Fig. 1a) and </w:t>
      </w:r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at </w:t>
      </w:r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 xml:space="preserve">stress (Fig. 1b) </w:t>
      </w:r>
      <w:proofErr w:type="spellStart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>for</w:t>
      </w:r>
      <w:proofErr w:type="spellEnd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>the</w:t>
      </w:r>
      <w:proofErr w:type="spellEnd"/>
      <w:r w:rsidR="0030639D" w:rsidRPr="0030639D">
        <w:rPr>
          <w:rFonts w:ascii="Arial" w:eastAsia="Arial Bold" w:hAnsi="Arial" w:cs="Arial"/>
          <w:sz w:val="24"/>
          <w:szCs w:val="24"/>
          <w:lang w:val="de-DE"/>
        </w:rPr>
        <w:t xml:space="preserve"> 1093 </w:t>
      </w:r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NHR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with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actual</w:t>
      </w:r>
      <w:proofErr w:type="spellEnd"/>
      <w:r w:rsidR="00294956">
        <w:rPr>
          <w:rFonts w:ascii="Arial" w:eastAsia="Arial Bold" w:hAnsi="Arial" w:cs="Arial"/>
          <w:sz w:val="24"/>
          <w:szCs w:val="24"/>
          <w:lang w:val="de-DE"/>
        </w:rPr>
        <w:t xml:space="preserve"> </w:t>
      </w:r>
      <w:proofErr w:type="spellStart"/>
      <w:r w:rsidR="00294956">
        <w:rPr>
          <w:rFonts w:ascii="Arial" w:eastAsia="Arial Bold" w:hAnsi="Arial" w:cs="Arial"/>
          <w:sz w:val="24"/>
          <w:szCs w:val="24"/>
          <w:lang w:val="de-DE"/>
        </w:rPr>
        <w:t>pain</w:t>
      </w:r>
      <w:proofErr w:type="spellEnd"/>
    </w:p>
    <w:p w14:paraId="06474920" w14:textId="77777777" w:rsidR="0031671A" w:rsidRDefault="0031671A">
      <w:pPr>
        <w:spacing w:line="360" w:lineRule="auto"/>
        <w:rPr>
          <w:rFonts w:ascii="Arial Bold" w:eastAsia="Arial Bold" w:hAnsi="Arial Bold" w:cs="Arial Bold"/>
          <w:sz w:val="24"/>
          <w:szCs w:val="24"/>
          <w:lang w:val="de-DE"/>
        </w:rPr>
      </w:pPr>
    </w:p>
    <w:p w14:paraId="77CD0C7D" w14:textId="77777777" w:rsidR="0031671A" w:rsidRDefault="00294956">
      <w:pPr>
        <w:spacing w:line="360" w:lineRule="auto"/>
        <w:rPr>
          <w:rFonts w:ascii="Arial Bold" w:eastAsia="Arial Bold" w:hAnsi="Arial Bold" w:cs="Arial Bold"/>
          <w:sz w:val="24"/>
          <w:szCs w:val="24"/>
          <w:lang w:val="de-DE"/>
        </w:rPr>
      </w:pPr>
      <w:r w:rsidRPr="0030639D">
        <w:rPr>
          <w:rFonts w:ascii="Arial" w:eastAsia="Arial" w:hAnsi="Arial" w:cs="Arial"/>
          <w:noProof/>
          <w:sz w:val="24"/>
          <w:szCs w:val="24"/>
          <w:lang w:val="de-DE" w:eastAsia="de-DE"/>
        </w:rPr>
        <w:drawing>
          <wp:anchor distT="0" distB="0" distL="0" distR="0" simplePos="0" relativeHeight="251659264" behindDoc="0" locked="0" layoutInCell="1" allowOverlap="1" wp14:anchorId="0676E8DA" wp14:editId="47479763">
            <wp:simplePos x="0" y="0"/>
            <wp:positionH relativeFrom="margin">
              <wp:align>left</wp:align>
            </wp:positionH>
            <wp:positionV relativeFrom="line">
              <wp:posOffset>110727</wp:posOffset>
            </wp:positionV>
            <wp:extent cx="4680000" cy="2700000"/>
            <wp:effectExtent l="0" t="0" r="6350" b="5715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51CA3" w14:textId="77777777" w:rsidR="00294956" w:rsidRDefault="00294956" w:rsidP="00214972">
      <w:pPr>
        <w:spacing w:line="360" w:lineRule="auto"/>
        <w:rPr>
          <w:rFonts w:ascii="Arial" w:hAnsi="Arial" w:cs="Arial"/>
          <w:sz w:val="24"/>
          <w:szCs w:val="24"/>
        </w:rPr>
      </w:pPr>
    </w:p>
    <w:p w14:paraId="12084B32" w14:textId="77777777" w:rsidR="00294956" w:rsidRDefault="0029495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639D">
        <w:rPr>
          <w:rFonts w:ascii="Arial" w:eastAsia="Arial" w:hAnsi="Arial" w:cs="Arial"/>
          <w:noProof/>
          <w:sz w:val="24"/>
          <w:szCs w:val="24"/>
          <w:lang w:val="de-DE" w:eastAsia="de-DE"/>
        </w:rPr>
        <w:drawing>
          <wp:anchor distT="0" distB="0" distL="0" distR="0" simplePos="0" relativeHeight="251660288" behindDoc="0" locked="0" layoutInCell="1" allowOverlap="1" wp14:anchorId="2D844BC6" wp14:editId="273D73F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680000" cy="2700000"/>
            <wp:effectExtent l="0" t="0" r="6350" b="5715"/>
            <wp:wrapTopAndBottom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9768F" w14:textId="77777777" w:rsidR="00294956" w:rsidRDefault="0029495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E862B09" w14:textId="02648810" w:rsidR="0031671A" w:rsidRPr="00294956" w:rsidRDefault="00214972">
      <w:pPr>
        <w:spacing w:line="360" w:lineRule="auto"/>
        <w:jc w:val="right"/>
        <w:rPr>
          <w:rFonts w:ascii="Arial" w:eastAsia="Arial Bol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</w:t>
      </w:r>
      <w:r w:rsidR="00461299" w:rsidRPr="00294956">
        <w:rPr>
          <w:rFonts w:ascii="Arial" w:hAnsi="Arial" w:cs="Arial"/>
          <w:sz w:val="24"/>
          <w:szCs w:val="24"/>
        </w:rPr>
        <w:t>. 1: subjective pain intensity in rest and under stress</w:t>
      </w:r>
    </w:p>
    <w:p w14:paraId="6C2DBF00" w14:textId="77777777" w:rsidR="0031671A" w:rsidRDefault="0031671A">
      <w:pPr>
        <w:spacing w:line="360" w:lineRule="auto"/>
        <w:jc w:val="right"/>
        <w:rPr>
          <w:rFonts w:ascii="Arial Bold" w:eastAsia="Arial Bold" w:hAnsi="Arial Bold" w:cs="Arial Bold"/>
          <w:sz w:val="24"/>
          <w:szCs w:val="24"/>
        </w:rPr>
      </w:pPr>
    </w:p>
    <w:p w14:paraId="32054ED3" w14:textId="77777777" w:rsidR="00214972" w:rsidRDefault="00214972">
      <w:pPr>
        <w:spacing w:line="360" w:lineRule="auto"/>
        <w:jc w:val="right"/>
        <w:rPr>
          <w:rFonts w:ascii="Arial Bold" w:eastAsia="Arial Bold" w:hAnsi="Arial Bold" w:cs="Arial Bold"/>
          <w:sz w:val="24"/>
          <w:szCs w:val="24"/>
        </w:rPr>
      </w:pPr>
    </w:p>
    <w:p w14:paraId="10ADB6D1" w14:textId="77777777" w:rsidR="00214972" w:rsidRDefault="00214972">
      <w:pPr>
        <w:spacing w:line="360" w:lineRule="auto"/>
        <w:rPr>
          <w:rFonts w:ascii="Arial" w:hAnsi="Arial" w:cs="Arial"/>
          <w:sz w:val="24"/>
          <w:szCs w:val="24"/>
        </w:rPr>
      </w:pPr>
    </w:p>
    <w:p w14:paraId="734B324F" w14:textId="77777777" w:rsidR="0031671A" w:rsidRPr="00E10AA2" w:rsidRDefault="00214972">
      <w:pPr>
        <w:spacing w:line="360" w:lineRule="auto"/>
        <w:rPr>
          <w:rFonts w:ascii="Arial" w:eastAsia="Arial Bol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</w:t>
      </w:r>
      <w:r w:rsidR="00461299" w:rsidRPr="00E10AA2">
        <w:rPr>
          <w:rFonts w:ascii="Arial" w:hAnsi="Arial" w:cs="Arial"/>
          <w:sz w:val="24"/>
          <w:szCs w:val="24"/>
        </w:rPr>
        <w:t xml:space="preserve"> 2 </w:t>
      </w:r>
      <w:r w:rsidR="00E10AA2" w:rsidRPr="00E10AA2">
        <w:rPr>
          <w:rFonts w:ascii="Arial" w:hAnsi="Arial" w:cs="Arial"/>
          <w:sz w:val="24"/>
          <w:szCs w:val="24"/>
        </w:rPr>
        <w:t xml:space="preserve">shows the pain </w:t>
      </w:r>
      <w:r w:rsidR="000F5608">
        <w:rPr>
          <w:rFonts w:ascii="Arial" w:hAnsi="Arial" w:cs="Arial"/>
          <w:sz w:val="24"/>
          <w:szCs w:val="24"/>
        </w:rPr>
        <w:t>duration data from all 919 NHR who</w:t>
      </w:r>
      <w:r w:rsidR="00E10AA2" w:rsidRPr="00E10AA2">
        <w:rPr>
          <w:rFonts w:ascii="Arial" w:hAnsi="Arial" w:cs="Arial"/>
          <w:sz w:val="24"/>
          <w:szCs w:val="24"/>
        </w:rPr>
        <w:t xml:space="preserve"> reported pain.</w:t>
      </w:r>
    </w:p>
    <w:p w14:paraId="26D5FE5B" w14:textId="77777777" w:rsidR="0031671A" w:rsidRDefault="0031671A">
      <w:pPr>
        <w:spacing w:line="360" w:lineRule="auto"/>
        <w:jc w:val="right"/>
        <w:rPr>
          <w:rFonts w:ascii="Arial Bold" w:eastAsia="Arial Bold" w:hAnsi="Arial Bold" w:cs="Arial Bold"/>
          <w:sz w:val="24"/>
          <w:szCs w:val="24"/>
        </w:rPr>
      </w:pPr>
    </w:p>
    <w:p w14:paraId="7A8BB40F" w14:textId="77777777" w:rsidR="0031671A" w:rsidRDefault="00461299">
      <w:pPr>
        <w:spacing w:line="360" w:lineRule="auto"/>
        <w:rPr>
          <w:rFonts w:ascii="Arial Bold" w:eastAsia="Arial Bold" w:hAnsi="Arial Bold" w:cs="Arial Bold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705C653" wp14:editId="23963466">
            <wp:extent cx="4680000" cy="2700000"/>
            <wp:effectExtent l="0" t="0" r="6350" b="5715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879CD5" w14:textId="77777777" w:rsidR="0031671A" w:rsidRPr="00E10AA2" w:rsidRDefault="00214972">
      <w:pPr>
        <w:spacing w:line="360" w:lineRule="auto"/>
        <w:jc w:val="right"/>
        <w:rPr>
          <w:rFonts w:ascii="Arial" w:eastAsia="Arial Bol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</w:t>
      </w:r>
      <w:r w:rsidR="00461299" w:rsidRPr="00E10AA2">
        <w:rPr>
          <w:rFonts w:ascii="Arial" w:hAnsi="Arial" w:cs="Arial"/>
          <w:sz w:val="24"/>
          <w:szCs w:val="24"/>
        </w:rPr>
        <w:t>. 2: pain duration in month (n = 919)</w:t>
      </w:r>
    </w:p>
    <w:p w14:paraId="59987B1B" w14:textId="77777777" w:rsidR="0031671A" w:rsidRDefault="0031671A">
      <w:pPr>
        <w:spacing w:after="160" w:line="259" w:lineRule="auto"/>
        <w:rPr>
          <w:rFonts w:ascii="Arial Bold" w:eastAsia="Arial Bold" w:hAnsi="Arial Bold" w:cs="Arial Bold"/>
          <w:sz w:val="24"/>
          <w:szCs w:val="24"/>
        </w:rPr>
      </w:pPr>
    </w:p>
    <w:p w14:paraId="49B7B1F2" w14:textId="77777777" w:rsidR="00706C77" w:rsidRDefault="00706C77">
      <w:pPr>
        <w:spacing w:line="360" w:lineRule="auto"/>
        <w:jc w:val="both"/>
      </w:pPr>
    </w:p>
    <w:p w14:paraId="27326369" w14:textId="77777777" w:rsidR="0031671A" w:rsidRDefault="00214972">
      <w:pPr>
        <w:spacing w:line="360" w:lineRule="auto"/>
        <w:jc w:val="both"/>
        <w:rPr>
          <w:rFonts w:ascii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Figure</w:t>
      </w:r>
      <w:r w:rsidR="00461299" w:rsidRPr="00706C77">
        <w:rPr>
          <w:rFonts w:ascii="Arial" w:hAnsi="Arial" w:cs="Arial"/>
          <w:sz w:val="24"/>
          <w:szCs w:val="24"/>
        </w:rPr>
        <w:t xml:space="preserve"> </w:t>
      </w:r>
      <w:r w:rsidR="00461299" w:rsidRPr="00706C77">
        <w:rPr>
          <w:rFonts w:ascii="Arial" w:hAnsi="Arial" w:cs="Arial"/>
          <w:sz w:val="24"/>
          <w:szCs w:val="24"/>
          <w:lang w:val="de-DE"/>
        </w:rPr>
        <w:t>3</w:t>
      </w:r>
      <w:r w:rsid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shows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the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distribution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of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the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pain-related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impairment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of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the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everyday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life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of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all </w:t>
      </w:r>
      <w:r w:rsidR="00E10AA2">
        <w:rPr>
          <w:rFonts w:ascii="Arial"/>
          <w:sz w:val="24"/>
          <w:szCs w:val="24"/>
          <w:lang w:val="de-DE"/>
        </w:rPr>
        <w:t>NHR</w:t>
      </w:r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with</w:t>
      </w:r>
      <w:proofErr w:type="spellEnd"/>
      <w:r w:rsid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>
        <w:rPr>
          <w:rFonts w:ascii="Arial"/>
          <w:sz w:val="24"/>
          <w:szCs w:val="24"/>
          <w:lang w:val="de-DE"/>
        </w:rPr>
        <w:t>actual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="00E10AA2" w:rsidRPr="00E10AA2">
        <w:rPr>
          <w:rFonts w:ascii="Arial"/>
          <w:sz w:val="24"/>
          <w:szCs w:val="24"/>
          <w:lang w:val="de-DE"/>
        </w:rPr>
        <w:t>pain</w:t>
      </w:r>
      <w:proofErr w:type="spellEnd"/>
      <w:r w:rsidR="00E10AA2" w:rsidRPr="00E10AA2">
        <w:rPr>
          <w:rFonts w:ascii="Arial"/>
          <w:sz w:val="24"/>
          <w:szCs w:val="24"/>
          <w:lang w:val="de-DE"/>
        </w:rPr>
        <w:t>.</w:t>
      </w:r>
    </w:p>
    <w:p w14:paraId="531C8C75" w14:textId="77777777" w:rsidR="00214972" w:rsidRDefault="0021497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09455221" w14:textId="77777777" w:rsidR="0031671A" w:rsidRDefault="0046129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464E327" wp14:editId="3D6B2E8D">
            <wp:extent cx="4680000" cy="2700000"/>
            <wp:effectExtent l="0" t="0" r="6350" b="5715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6C6580" w14:textId="368E5DFB" w:rsidR="0031671A" w:rsidRPr="00B764FE" w:rsidRDefault="00214972">
      <w:pPr>
        <w:spacing w:line="360" w:lineRule="auto"/>
        <w:jc w:val="right"/>
        <w:rPr>
          <w:rFonts w:ascii="Arial" w:eastAsia="Arial Bol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</w:t>
      </w:r>
      <w:r w:rsidR="00461299" w:rsidRPr="00B764FE">
        <w:rPr>
          <w:rFonts w:ascii="Arial" w:hAnsi="Arial" w:cs="Arial"/>
          <w:sz w:val="24"/>
          <w:szCs w:val="24"/>
        </w:rPr>
        <w:t xml:space="preserve">. 3: Limitations of daily activities due to pain </w:t>
      </w:r>
      <w:r w:rsidR="00BB23E0">
        <w:rPr>
          <w:rFonts w:ascii="Arial" w:hAnsi="Arial" w:cs="Arial"/>
          <w:sz w:val="24"/>
          <w:szCs w:val="24"/>
        </w:rPr>
        <w:t>(n=1032)</w:t>
      </w:r>
    </w:p>
    <w:p w14:paraId="307EAB1B" w14:textId="77777777" w:rsidR="0031671A" w:rsidRDefault="0031671A">
      <w:pPr>
        <w:tabs>
          <w:tab w:val="left" w:pos="851"/>
        </w:tabs>
        <w:spacing w:line="360" w:lineRule="auto"/>
      </w:pPr>
    </w:p>
    <w:sectPr w:rsidR="0031671A" w:rsidSect="00214972">
      <w:headerReference w:type="default" r:id="rId10"/>
      <w:pgSz w:w="11900" w:h="16840"/>
      <w:pgMar w:top="113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BAEF" w14:textId="77777777" w:rsidR="00B14F86" w:rsidRDefault="00B14F86">
      <w:r>
        <w:separator/>
      </w:r>
    </w:p>
  </w:endnote>
  <w:endnote w:type="continuationSeparator" w:id="0">
    <w:p w14:paraId="7AEA24E0" w14:textId="77777777" w:rsidR="00B14F86" w:rsidRDefault="00B1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B9D4" w14:textId="77777777" w:rsidR="00B14F86" w:rsidRDefault="00B14F86">
      <w:r>
        <w:separator/>
      </w:r>
    </w:p>
  </w:footnote>
  <w:footnote w:type="continuationSeparator" w:id="0">
    <w:p w14:paraId="1A03C7A6" w14:textId="77777777" w:rsidR="00B14F86" w:rsidRDefault="00B1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A5E9" w14:textId="77777777" w:rsidR="00214972" w:rsidRDefault="00214972" w:rsidP="0021497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25"/>
      </w:tabs>
      <w:spacing w:line="360" w:lineRule="auto"/>
      <w:rPr>
        <w:rFonts w:ascii="Arial"/>
        <w:noProof/>
        <w:sz w:val="24"/>
        <w:szCs w:val="24"/>
        <w:lang w:val="en-GB"/>
      </w:rPr>
    </w:pPr>
  </w:p>
  <w:p w14:paraId="618E9CFB" w14:textId="77777777" w:rsidR="0031671A" w:rsidRPr="00214972" w:rsidRDefault="00214972" w:rsidP="00214972">
    <w:pPr>
      <w:spacing w:line="360" w:lineRule="auto"/>
      <w:rPr>
        <w:rFonts w:ascii="Arial" w:eastAsia="Arial" w:hAnsi="Arial" w:cs="Arial"/>
        <w:noProof/>
        <w:sz w:val="24"/>
        <w:szCs w:val="24"/>
        <w:lang w:val="en-GB"/>
      </w:rPr>
    </w:pPr>
    <w:r>
      <w:rPr>
        <w:rFonts w:ascii="Arial"/>
        <w:noProof/>
        <w:sz w:val="24"/>
        <w:szCs w:val="24"/>
        <w:lang w:val="en-GB"/>
      </w:rPr>
      <w:t xml:space="preserve">Supplement to: </w:t>
    </w:r>
    <w:r w:rsidRPr="00C63172">
      <w:rPr>
        <w:rFonts w:ascii="Arial"/>
        <w:noProof/>
        <w:sz w:val="24"/>
        <w:szCs w:val="24"/>
        <w:lang w:val="en-GB"/>
      </w:rPr>
      <w:t>C</w:t>
    </w:r>
    <w:r>
      <w:rPr>
        <w:rFonts w:ascii="Arial"/>
        <w:noProof/>
        <w:sz w:val="24"/>
        <w:szCs w:val="24"/>
        <w:lang w:val="en-GB"/>
      </w:rPr>
      <w:t xml:space="preserve">entmayer R, Leiske M, Lahmann N. </w:t>
    </w:r>
    <w:r w:rsidRPr="00C63172">
      <w:rPr>
        <w:rFonts w:ascii="Arial"/>
        <w:noProof/>
        <w:sz w:val="24"/>
        <w:szCs w:val="24"/>
        <w:lang w:val="en-GB"/>
      </w:rPr>
      <w:t>Pain in nursing homes residents with and without cognitive impairment. Results from five consecutive multicenter cross-sectional surveys carried out between 2014 and 2018 in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1A"/>
    <w:rsid w:val="000F5608"/>
    <w:rsid w:val="00183BA2"/>
    <w:rsid w:val="00214972"/>
    <w:rsid w:val="00294956"/>
    <w:rsid w:val="0030639D"/>
    <w:rsid w:val="0031671A"/>
    <w:rsid w:val="00461299"/>
    <w:rsid w:val="00706C77"/>
    <w:rsid w:val="008F5EB1"/>
    <w:rsid w:val="00B12716"/>
    <w:rsid w:val="00B14F86"/>
    <w:rsid w:val="00B764FE"/>
    <w:rsid w:val="00BB23E0"/>
    <w:rsid w:val="00E10AA2"/>
    <w:rsid w:val="00E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F1F6"/>
  <w15:docId w15:val="{3F2D4EC6-EA50-4D5E-96CB-3965164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49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972"/>
    <w:rPr>
      <w:rFonts w:ascii="Helvetica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14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972"/>
    <w:rPr>
      <w:rFonts w:ascii="Helvetica" w:hAnsi="Arial Unicode MS" w:cs="Arial Unicode MS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de-DE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5429399999999999"/>
          <c:y val="4.6727499999999998E-2"/>
          <c:w val="0.84570599999999996"/>
          <c:h val="0.79019300000000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</c:strRef>
          </c:tx>
          <c:spPr>
            <a:solidFill>
              <a:srgbClr val="8B8B8B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1000" b="0" i="0" u="none" strike="noStrike">
                    <a:solidFill>
                      <a:srgbClr val="40404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36.200000000000003</c:v>
                </c:pt>
                <c:pt idx="1">
                  <c:v>22.8</c:v>
                </c:pt>
                <c:pt idx="2">
                  <c:v>19.399999999999999</c:v>
                </c:pt>
                <c:pt idx="3">
                  <c:v>11.6</c:v>
                </c:pt>
                <c:pt idx="4">
                  <c:v>4.2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0.7</c:v>
                </c:pt>
                <c:pt idx="9">
                  <c:v>0.2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7-4845-B390-2F9798F6B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38220224"/>
        <c:axId val="360125496"/>
      </c:barChart>
      <c:catAx>
        <c:axId val="238220224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 lvl="0">
                  <a:defRPr sz="11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Fig 1a: pain in rest (n = 1034)</a:t>
                </a:r>
              </a:p>
            </c:rich>
          </c:tx>
          <c:layout>
            <c:manualLayout>
              <c:xMode val="edge"/>
              <c:yMode val="edge"/>
              <c:x val="0.62833192662314763"/>
              <c:y val="0.94204526864561389"/>
            </c:manualLayout>
          </c:layout>
          <c:overlay val="1"/>
        </c:title>
        <c:numFmt formatCode="General" sourceLinked="1"/>
        <c:majorTickMark val="out"/>
        <c:min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sz="900" b="0" i="0" u="none" strike="noStrike">
                <a:solidFill>
                  <a:srgbClr val="595959"/>
                </a:solidFill>
                <a:effectLst/>
                <a:latin typeface="+mn-lt"/>
              </a:defRPr>
            </a:pPr>
            <a:endParaRPr lang="de-DE"/>
          </a:p>
        </c:txPr>
        <c:crossAx val="360125496"/>
        <c:crosses val="autoZero"/>
        <c:auto val="1"/>
        <c:lblAlgn val="ctr"/>
        <c:lblOffset val="100"/>
        <c:noMultiLvlLbl val="1"/>
      </c:catAx>
      <c:valAx>
        <c:axId val="360125496"/>
        <c:scaling>
          <c:orientation val="minMax"/>
          <c:max val="40"/>
        </c:scaling>
        <c:delete val="0"/>
        <c:axPos val="l"/>
        <c:title>
          <c:tx>
            <c:rich>
              <a:bodyPr rot="0" vert="horz"/>
              <a:lstStyle/>
              <a:p>
                <a:pPr lvl="0">
                  <a:defRPr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overlay val="1"/>
        </c:title>
        <c:numFmt formatCode="@" sourceLinked="0"/>
        <c:majorTickMark val="out"/>
        <c:minorTickMark val="in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238220224"/>
        <c:crosses val="autoZero"/>
        <c:crossBetween val="between"/>
        <c:majorUnit val="10"/>
        <c:minorUnit val="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de-DE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82"/>
          <c:y val="4.72886E-2"/>
          <c:w val="0.81799999999999995"/>
          <c:h val="0.79964599999999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</c:strRef>
          </c:tx>
          <c:spPr>
            <a:solidFill>
              <a:srgbClr val="8B8B8B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.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1000" b="0" i="0" u="none" strike="noStrike">
                    <a:solidFill>
                      <a:srgbClr val="40404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0.4</c:v>
                </c:pt>
                <c:pt idx="1">
                  <c:v>19.3</c:v>
                </c:pt>
                <c:pt idx="2">
                  <c:v>22.5</c:v>
                </c:pt>
                <c:pt idx="3">
                  <c:v>19.399999999999999</c:v>
                </c:pt>
                <c:pt idx="4">
                  <c:v>16.899999999999999</c:v>
                </c:pt>
                <c:pt idx="5">
                  <c:v>10.7</c:v>
                </c:pt>
                <c:pt idx="6">
                  <c:v>4.9000000000000004</c:v>
                </c:pt>
                <c:pt idx="7">
                  <c:v>3.2</c:v>
                </c:pt>
                <c:pt idx="8">
                  <c:v>1.8</c:v>
                </c:pt>
                <c:pt idx="9">
                  <c:v>0.6</c:v>
                </c:pt>
                <c:pt idx="1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D-47B5-94E7-77154FCAE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360125888"/>
        <c:axId val="360126280"/>
      </c:barChart>
      <c:catAx>
        <c:axId val="360125888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 lvl="0">
                  <a:defRPr sz="105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05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Fig 1b: pain in stress (n = </a:t>
                </a:r>
                <a:r>
                  <a:rPr lang="de-DE" sz="11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1051</a:t>
                </a:r>
                <a:r>
                  <a:rPr lang="de-DE" sz="105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59897306595155919"/>
              <c:y val="0.94291755278924139"/>
            </c:manualLayout>
          </c:layout>
          <c:overlay val="1"/>
        </c:title>
        <c:numFmt formatCode="General" sourceLinked="1"/>
        <c:majorTickMark val="out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360126280"/>
        <c:crosses val="autoZero"/>
        <c:auto val="1"/>
        <c:lblAlgn val="ctr"/>
        <c:lblOffset val="100"/>
        <c:tickLblSkip val="1"/>
        <c:noMultiLvlLbl val="1"/>
      </c:catAx>
      <c:valAx>
        <c:axId val="360126280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lvl="0">
                  <a:defRPr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overlay val="1"/>
        </c:title>
        <c:numFmt formatCode="0" sourceLinked="0"/>
        <c:majorTickMark val="out"/>
        <c:minorTickMark val="out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360125888"/>
        <c:crosses val="autoZero"/>
        <c:crossBetween val="between"/>
        <c:majorUnit val="10"/>
        <c:minorUnit val="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de-DE"/>
  <c:roundedCorners val="0"/>
  <c:style val="2"/>
  <c:chart>
    <c:title>
      <c:tx>
        <c:rich>
          <a:bodyPr rot="0"/>
          <a:lstStyle/>
          <a:p>
            <a:pPr lvl="0"/>
            <a:endParaRPr lang="de-DE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300200000000001"/>
          <c:y val="6.3284599999999996E-2"/>
          <c:w val="0.86699800000000005"/>
          <c:h val="0.83735700000000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</c:strRef>
          </c:tx>
          <c:spPr>
            <a:solidFill>
              <a:srgbClr val="8B8B8B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.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1000" b="0" i="0" u="none" strike="noStrike">
                    <a:solidFill>
                      <a:srgbClr val="40404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acute</c:v>
                </c:pt>
                <c:pt idx="1">
                  <c:v>1 - 3</c:v>
                </c:pt>
                <c:pt idx="2">
                  <c:v>3 - 6</c:v>
                </c:pt>
                <c:pt idx="3">
                  <c:v>&gt; 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7.1</c:v>
                </c:pt>
                <c:pt idx="1">
                  <c:v>7.5</c:v>
                </c:pt>
                <c:pt idx="2">
                  <c:v>28.5</c:v>
                </c:pt>
                <c:pt idx="3">
                  <c:v>56.9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D-4CFE-ACC2-9E40C6F41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362162960"/>
        <c:axId val="363126256"/>
      </c:barChart>
      <c:catAx>
        <c:axId val="36216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363126256"/>
        <c:crosses val="autoZero"/>
        <c:auto val="1"/>
        <c:lblAlgn val="ctr"/>
        <c:lblOffset val="100"/>
        <c:noMultiLvlLbl val="1"/>
      </c:catAx>
      <c:valAx>
        <c:axId val="3631262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lvl="0">
                  <a:defRPr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overlay val="1"/>
        </c:title>
        <c:numFmt formatCode="#,##0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362162960"/>
        <c:crosses val="autoZero"/>
        <c:crossBetween val="between"/>
        <c:majorUnit val="15"/>
        <c:minorUnit val="7.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 w="9525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de-DE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35768"/>
          <c:y val="5.8609300000000003E-2"/>
          <c:w val="0.864232"/>
          <c:h val="0.84844900000000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8B8B8B"/>
            </a:solidFill>
            <a:ln w="12700" cap="flat">
              <a:noFill/>
              <a:miter lim="4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10.4</c:v>
                </c:pt>
                <c:pt idx="1">
                  <c:v>23.7</c:v>
                </c:pt>
                <c:pt idx="2">
                  <c:v>21.4</c:v>
                </c:pt>
                <c:pt idx="3">
                  <c:v>18.899999999999999</c:v>
                </c:pt>
                <c:pt idx="4">
                  <c:v>9.6999999999999993</c:v>
                </c:pt>
                <c:pt idx="5">
                  <c:v>7.3</c:v>
                </c:pt>
                <c:pt idx="6">
                  <c:v>3.6</c:v>
                </c:pt>
                <c:pt idx="7">
                  <c:v>2</c:v>
                </c:pt>
                <c:pt idx="8">
                  <c:v>1.6</c:v>
                </c:pt>
                <c:pt idx="9">
                  <c:v>0.3</c:v>
                </c:pt>
                <c:pt idx="10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D-4B36-9F64-E12D65A0B2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0"/>
        <c:axId val="238272264"/>
        <c:axId val="238271872"/>
      </c:barChart>
      <c:catAx>
        <c:axId val="23827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238271872"/>
        <c:crosses val="autoZero"/>
        <c:auto val="1"/>
        <c:lblAlgn val="ctr"/>
        <c:lblOffset val="100"/>
        <c:noMultiLvlLbl val="1"/>
      </c:catAx>
      <c:valAx>
        <c:axId val="2382718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lvl="0">
                  <a:defRPr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000" b="0" i="0" u="none" strike="noStrike">
                    <a:solidFill>
                      <a:srgbClr val="595959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overlay val="1"/>
        </c:title>
        <c:numFmt formatCode="#,##0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595959"/>
                </a:solidFill>
                <a:effectLst/>
                <a:latin typeface="+mn-lt"/>
              </a:defRPr>
            </a:pPr>
            <a:endParaRPr lang="de-DE"/>
          </a:p>
        </c:txPr>
        <c:crossAx val="238272264"/>
        <c:crosses val="autoZero"/>
        <c:crossBetween val="between"/>
        <c:majorUnit val="10"/>
        <c:minorUnit val="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Centmayer</dc:creator>
  <cp:lastModifiedBy>dibpj0eRpMzpWuuS</cp:lastModifiedBy>
  <cp:revision>3</cp:revision>
  <dcterms:created xsi:type="dcterms:W3CDTF">2020-08-25T09:39:00Z</dcterms:created>
  <dcterms:modified xsi:type="dcterms:W3CDTF">2020-08-25T10:30:00Z</dcterms:modified>
</cp:coreProperties>
</file>