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0BC6" w:rsidRPr="005C3298" w:rsidRDefault="000F0BC6" w:rsidP="000F0BC6">
      <w:pPr>
        <w:jc w:val="center"/>
        <w:rPr>
          <w:rFonts w:ascii="Times New Roman" w:hAnsi="Times New Roman" w:cs="Times New Roman"/>
          <w:b/>
          <w:bCs/>
          <w:sz w:val="32"/>
          <w:u w:val="single"/>
        </w:rPr>
      </w:pPr>
      <w:r w:rsidRPr="005C3298">
        <w:rPr>
          <w:rFonts w:ascii="Times New Roman" w:hAnsi="Times New Roman" w:cs="Times New Roman"/>
          <w:b/>
          <w:bCs/>
          <w:sz w:val="32"/>
          <w:u w:val="single"/>
        </w:rPr>
        <w:t>SUPPLEMENTARY DATA</w:t>
      </w:r>
    </w:p>
    <w:p w:rsidR="000F0BC6" w:rsidRDefault="000F0BC6" w:rsidP="000F0BC6">
      <w:pPr>
        <w:spacing w:after="0"/>
        <w:rPr>
          <w:rFonts w:ascii="Times New Roman" w:hAnsi="Times New Roman" w:cs="Times New Roman"/>
          <w:b/>
          <w:sz w:val="28"/>
        </w:rPr>
      </w:pPr>
    </w:p>
    <w:p w:rsidR="000F0BC6" w:rsidRDefault="000F0BC6" w:rsidP="000F0BC6">
      <w:pPr>
        <w:spacing w:after="0"/>
        <w:rPr>
          <w:rFonts w:ascii="Times New Roman" w:hAnsi="Times New Roman" w:cs="Times New Roman"/>
          <w:b/>
          <w:sz w:val="28"/>
        </w:rPr>
      </w:pPr>
      <w:r>
        <w:rPr>
          <w:rFonts w:ascii="Times New Roman" w:hAnsi="Times New Roman" w:cs="Times New Roman"/>
          <w:b/>
          <w:sz w:val="28"/>
        </w:rPr>
        <w:t>Supplementary methods</w:t>
      </w:r>
    </w:p>
    <w:p w:rsidR="000F0BC6" w:rsidRPr="00F04543" w:rsidRDefault="000F0BC6" w:rsidP="000F0BC6">
      <w:pPr>
        <w:jc w:val="both"/>
        <w:rPr>
          <w:rFonts w:ascii="Times New Roman" w:hAnsi="Times New Roman" w:cs="Times New Roman"/>
          <w:b/>
          <w:sz w:val="24"/>
        </w:rPr>
      </w:pPr>
      <w:r w:rsidRPr="00F04543">
        <w:rPr>
          <w:rFonts w:ascii="Times New Roman" w:hAnsi="Times New Roman" w:cs="Times New Roman"/>
          <w:b/>
          <w:sz w:val="24"/>
        </w:rPr>
        <w:t xml:space="preserve">Evaluation of the oral acute toxicity </w:t>
      </w:r>
    </w:p>
    <w:p w:rsidR="000F0BC6" w:rsidRPr="00F04543" w:rsidRDefault="000F0BC6" w:rsidP="000F0BC6">
      <w:pPr>
        <w:jc w:val="both"/>
        <w:rPr>
          <w:rFonts w:ascii="Times New Roman" w:hAnsi="Times New Roman" w:cs="Times New Roman"/>
          <w:sz w:val="24"/>
        </w:rPr>
      </w:pPr>
      <w:r w:rsidRPr="00F04543">
        <w:rPr>
          <w:rFonts w:ascii="Times New Roman" w:hAnsi="Times New Roman" w:cs="Times New Roman"/>
          <w:sz w:val="24"/>
        </w:rPr>
        <w:t xml:space="preserve">The evaluation of oral acute toxicity was carried out as per the Organization for Economical Cooperation and Development (OECD test 425) described procedure. Total 18 mice of either sex were divided into three groups (3 male &amp; 3 female in each group) randomly </w:t>
      </w:r>
      <w:r w:rsidRPr="00F04543">
        <w:rPr>
          <w:rFonts w:ascii="Times New Roman" w:hAnsi="Times New Roman" w:cs="Times New Roman"/>
          <w:i/>
          <w:sz w:val="24"/>
        </w:rPr>
        <w:t>viz.</w:t>
      </w:r>
      <w:r w:rsidRPr="00F04543">
        <w:rPr>
          <w:rFonts w:ascii="Times New Roman" w:hAnsi="Times New Roman" w:cs="Times New Roman"/>
          <w:sz w:val="24"/>
        </w:rPr>
        <w:t xml:space="preserve"> experimental groups 1 &amp; 2 and control group 3 respectively.  A day before an experiment, animals were kept on  fasting. Next day, the ethyl acetate extract was administered orally using a 16G oral round ball tip feeding curved needles to the mice of the experimental groups. A single dose of 2000 mg/kg </w:t>
      </w:r>
      <w:r>
        <w:rPr>
          <w:rFonts w:ascii="Times New Roman" w:hAnsi="Times New Roman" w:cs="Times New Roman"/>
          <w:sz w:val="24"/>
        </w:rPr>
        <w:t>and</w:t>
      </w:r>
      <w:r w:rsidRPr="00F04543">
        <w:rPr>
          <w:rFonts w:ascii="Times New Roman" w:hAnsi="Times New Roman" w:cs="Times New Roman"/>
          <w:sz w:val="24"/>
        </w:rPr>
        <w:t xml:space="preserve"> 5000 mg/kg body weight were administrated among the mice of experimental group 1 and  2 respectively, while distilled water was administrated to the mice of control group. All mice were observed individually after  first 30 min dosing, special attention was given during  the  first  4 h and followed up from 24 h to 14</w:t>
      </w:r>
      <w:r w:rsidRPr="00F04543">
        <w:rPr>
          <w:rFonts w:ascii="Times New Roman" w:hAnsi="Times New Roman" w:cs="Times New Roman"/>
          <w:sz w:val="24"/>
          <w:vertAlign w:val="superscript"/>
        </w:rPr>
        <w:t>th</w:t>
      </w:r>
      <w:r w:rsidRPr="00F04543">
        <w:rPr>
          <w:rFonts w:ascii="Times New Roman" w:hAnsi="Times New Roman" w:cs="Times New Roman"/>
          <w:sz w:val="24"/>
        </w:rPr>
        <w:t xml:space="preserve"> day of the  dosing to collect  signs  and symptoms  of   toxicity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{"citationItems":[{"id":"ITEM-1","itemData":{"DOI":"10.1016/j.jep.2018.06.035","ISSN":"1872-7573 (Electronic)","PMID":"29960023","abstract":"ETHNOPHARMACOLOGICAL RELEVANCE: Sphenodesme involucrata var. paniculata (C. B. Clarke) Munir is native as well as endemic to South India. Its leaves are used in folklore medicine to treat pain and rheumatism. OBJECTIVE: This study was aimed to investigate the chemical characterization, anti-nociceptive and mode of action underlying the anti-inflammatory effects of methanol extract of S. involucrata leaves (MESi). METHODS: Phytoconstituents of MESi was analyzed using colorimetric and liquid chromatography-mass spectrometry (LC-MS) methods, and the oral acute toxicity was evaluated in mice up to 2000mg/kg. The anti-nociceptive effect was evaluated in hot plate and writhing tests; whereas the anti-inflammatory effect was investigated using carrageenan, cotton pellet and lipopolysaccharide (LPS)-induced peritonitis models at doses of 100, 200 and 400mg/kg. Additionally nitric oxide (NO) and inflammatory cytokines levels were also evaluated. RESULTS: MESi exhibited the high content of phenolics and flavonoids as well as compounds like austricine, benzylglucosinolate, gossypin, justicidin B and cirsimarin were detected in LC-MS. In the acute toxicity study, oral administration of MESi did not cause any toxic effect and mortality up to 2000mg/kg body weight in mice. In the anti-nociceptive tests, MESi augmented the latency period at higher dose (400mg/kg), on the other hand attenuated writhings at the dose of 400mg/kg by 87.87% (p&lt;0.001). In the carrageenan induced paw oedema MESi significantly inhibited the oedema formation at dose 400mg/kg by 32.1%; besides, anti-inflammatory effect was registered in the cotton pellets-induced inflammation model at doses 200 and 400mg/kg by 27.09% (p&lt;0.001) and 35.47% (p&lt;0.001) respectively. On the other hand, MESi appreciably reduced leukocyte, neutrophils infiltration, nitric oxide, TNF-alpha and IL-1beta levels and increased the IL-10 level in the (LPS)-induced peritonitis model. CONCLUSION: The results conclude that MESi has no acute toxic effect and it demonstrated potent anti-nociceptive and anti-inflammatory activities. Its anti-nociceptive activities are probably mediated through peripheral and central mechanisms. The anti-inflammatory effect of MESi involved the inhibition of neutrophils migration and the modulation of Th1 and Th2 cytokines, besides the attenuation of production of PGE2 and NO. LC-MS analysis revealed the predominant presence of the austricine, benzylglucosinolate, gossypin, justicidin B and cirsima…","author":[{"dropping-particle":"","family":"Sreeja","given":"Puthanpura Sasidharan","non-dropping-particle":"","parse-names":false,"suffix":""},{"dropping-particle":"","family":"Arunachalam","given":"Karuppusamy","non-dropping-particle":"","parse-names":false,"suffix":""},{"dropping-particle":"","family":"Martins","given":"Domingos Tabajara de Oliveira","non-dropping-particle":"","parse-names":false,"suffix":""},{"dropping-particle":"","family":"Lima","given":"Joaquim Corsino da Silva","non-dropping-particle":"","parse-names":false,"suffix":""},{"dropping-particle":"","family":"Balogun","given":"Sikiru Olaitan","non-dropping-particle":"","parse-names":false,"suffix":""},{"dropping-particle":"","family":"Pavan","given":"Eduarda","non-dropping-particle":"","parse-names":false,"suffix":""},{"dropping-particle":"","family":"Saikumar","given":"Sathyanarayanan","non-dropping-particle":"","parse-names":false,"suffix":""},{"dropping-particle":"","family":"Dhivya","given":"Sivaraj","non-dropping-particle":"","parse-names":false,"suffix":""},{"dropping-particle":"","family":"Kasipandi","given":"Muniyandi","non-dropping-particle":"","parse-names":false,"suffix":""},{"dropping-particle":"","family":"Parimelazhagan","given":"Thangaraj","non-dropping-particle":"","parse-names":false,"suffix":""}],"container-title":"Journal of ethnopharmacology","id":"ITEM-1","issued":{"date-parts":[["2018","10"]]},"language":"eng","page":"71-80","publisher-place":"Ireland","title":"Sphenodesme involucrata var. paniculata (C.B. Clarke) Munir.: Chemical characterization, anti-nociceptive and anti-inflammatory activities of methanol extract of leaves.","type":"article-journal","volume":"225"},"uris":["http://www.mendeley.com/documents/?uuid=243820a7-dffc-4f10-91e9-b03ba5fb4060"]},{"id":"ITEM-2","itemData":{"DOI":"10.1186/1472-6882-14-462","ISSN":"1472-6882 (Electronic)","PMID":"25465394","abstract":"BACKGROUND: Malaria is one of the most important infectious diseases in the World. The choice for the treatment is highly limited, and several of these may eventually be lost or compromised due to drug resistance. The use of plant medicine in the treatment of malaria and its various presentations is a common practice in many countries of Africa where the disease is mostly endemic. Dodonaea angustifolia is traditionally used in Ethiopia for prophylaxis against malaria. The present study is attempted to evaluate the antimalarial activity of the solvent fractions of root extracts of D. angustifolia in P. berghei infected mice. METHODS: In this study, 4-days Peter's suppressive test was used to determine parasite inhibition. Acute toxicity test was also conducted on the most active fraction according to Organization for Economic Cooperation and Development (OECD) guidelines 425. Data was analyzed by using Windows SPSS version 16 and expressed as mean +/- SD for each dose level. ANOVA followed by Post Hoc Tukey's HSD was used to compare result between treatment and control groups. Students paired t-test was employed to test significance for the difference between initial and final results within the same group. RESULTS: All three fractions showed varying degrees of antiplasmodial activity. The n-butanol fraction displayed a relatively highest suppression of parasitaemia (67.51%) at an oral dose of 600 mg/kg. Lower doses, 200 mg/kg and 400 mg/kg, of the fraction also resulted in parasitaemia suppression of 38.02% and 55.85%, respectively. Chemosuppressive activity of chloroform and aqueous fractions was less compared to that of n-butanol fraction. All the three fractions displayed dose dependent significant (P &lt; 0.001) antiplasmodial activity as compared to the control. Survival time was prolonged in case of n-butanol and chloroform fractions. No lethality to mice was seen with n-butanol fraction up to a dose of 2000 mg/kg. CONCLUSION: All the three fractions possessed significant antiplasmodial activity as compared with the control group. n-butanol fraction was found to be the most active fraction with minimal toxicity and might contain potential lead molecule for the development of a new drug for treatment of malaria.","author":[{"dropping-particle":"","family":"Amelo","given":"Wote","non-dropping-particle":"","parse-names":false,"suffix":""},{"dropping-particle":"","family":"Nagpal","given":"Pushpa","non-dropping-particle":"","parse-names":false,"suffix":""},{"dropping-particle":"","family":"Makonnen","given":"Eyassu","non-dropping-particle":"","parse-names":false,"suffix":""}],"container-title":"BMC complementary and alternative medicine","id":"ITEM-2","issued":{"date-parts":[["2014","12"]]},"language":"eng","page":"462","publisher-place":"England","title":"Antiplasmodial activity of solvent fractions of methanolic root extract of Dodonaea angustifolia in Plasmodium berghei infected mice.","type":"article-journal","volume":"14"},"uris":["http://www.mendeley.com/documents/?uuid=17969fa4-34cb-444d-a3c7-ed2f3d7ad119"]}],"mendeley":{"formattedCitation":"[54, 55]","plainTextFormattedCitation":"[54, 55]","previouslyFormattedCitation":"&lt;sup&gt;54,55&lt;/sup&gt;"},"properties":{"noteIndex":0},"schema":"https://github.com/citation-style-language/schema/raw/master/csl-citation.json"}</w:instrText>
      </w:r>
      <w:r>
        <w:rPr>
          <w:rFonts w:ascii="Times New Roman" w:hAnsi="Times New Roman" w:cs="Times New Roman"/>
          <w:sz w:val="24"/>
        </w:rPr>
        <w:fldChar w:fldCharType="separate"/>
      </w:r>
      <w:r w:rsidRPr="00311558">
        <w:rPr>
          <w:rFonts w:ascii="Times New Roman" w:hAnsi="Times New Roman" w:cs="Times New Roman"/>
          <w:noProof/>
          <w:sz w:val="24"/>
        </w:rPr>
        <w:t>[54, 55]</w:t>
      </w:r>
      <w:r>
        <w:rPr>
          <w:rFonts w:ascii="Times New Roman" w:hAnsi="Times New Roman" w:cs="Times New Roman"/>
          <w:sz w:val="24"/>
        </w:rPr>
        <w:fldChar w:fldCharType="end"/>
      </w:r>
      <w:r w:rsidRPr="00F04543">
        <w:rPr>
          <w:rFonts w:ascii="Times New Roman" w:hAnsi="Times New Roman" w:cs="Times New Roman"/>
          <w:sz w:val="24"/>
        </w:rPr>
        <w:t xml:space="preserve">. The attention was paid to investigate the potential occurrence of tremors, convulsions, salivation, diarrhea, lethargy and drowsiness. Live weight of the animals was monitored on days 0, 7 and 14 of the dosing as one of the toxicity parameters. At the end of the experiment, the animals were sacrificed by cervical dislocation of anaesthetised animals and the organs </w:t>
      </w:r>
      <w:r w:rsidRPr="00F04543">
        <w:rPr>
          <w:rFonts w:ascii="Times New Roman" w:hAnsi="Times New Roman" w:cs="Times New Roman"/>
          <w:i/>
          <w:sz w:val="24"/>
        </w:rPr>
        <w:t xml:space="preserve">viz. </w:t>
      </w:r>
      <w:r w:rsidRPr="00F04543">
        <w:rPr>
          <w:rFonts w:ascii="Times New Roman" w:hAnsi="Times New Roman" w:cs="Times New Roman"/>
          <w:sz w:val="24"/>
        </w:rPr>
        <w:t>brain, stomach, liver, spleen, lungs, kidneys, muscles, esophagus and small intestine were collected to evaluate histopathological changes.</w:t>
      </w:r>
    </w:p>
    <w:p w:rsidR="000F0BC6" w:rsidRPr="00F04543" w:rsidRDefault="000F0BC6" w:rsidP="000F0BC6">
      <w:pPr>
        <w:jc w:val="both"/>
        <w:rPr>
          <w:rFonts w:ascii="Times New Roman" w:hAnsi="Times New Roman" w:cs="Times New Roman"/>
          <w:b/>
          <w:sz w:val="24"/>
        </w:rPr>
      </w:pPr>
      <w:r w:rsidRPr="00F04543">
        <w:rPr>
          <w:rFonts w:ascii="Times New Roman" w:hAnsi="Times New Roman" w:cs="Times New Roman"/>
          <w:b/>
          <w:sz w:val="24"/>
        </w:rPr>
        <w:t>Tumor model development</w:t>
      </w:r>
    </w:p>
    <w:p w:rsidR="000F0BC6" w:rsidRPr="00F04543" w:rsidRDefault="000F0BC6" w:rsidP="000F0BC6">
      <w:pPr>
        <w:jc w:val="both"/>
        <w:rPr>
          <w:rFonts w:ascii="Times New Roman" w:hAnsi="Times New Roman" w:cs="Times New Roman"/>
          <w:sz w:val="24"/>
        </w:rPr>
      </w:pPr>
      <w:r w:rsidRPr="00F04543">
        <w:rPr>
          <w:rFonts w:ascii="Times New Roman" w:hAnsi="Times New Roman" w:cs="Times New Roman"/>
          <w:sz w:val="24"/>
        </w:rPr>
        <w:t>EAC cell induced tumor model was chosen for this study, as it is of mouse origin and can be easily transplanted in immunocompetent mouse. The EAC cells were harvested from 75 cm</w:t>
      </w:r>
      <w:r w:rsidRPr="00F04543">
        <w:rPr>
          <w:rFonts w:ascii="Times New Roman" w:hAnsi="Times New Roman" w:cs="Times New Roman"/>
          <w:sz w:val="24"/>
          <w:vertAlign w:val="superscript"/>
        </w:rPr>
        <w:t>2</w:t>
      </w:r>
      <w:r w:rsidRPr="00F04543">
        <w:rPr>
          <w:rFonts w:ascii="Times New Roman" w:hAnsi="Times New Roman" w:cs="Times New Roman"/>
          <w:sz w:val="24"/>
        </w:rPr>
        <w:t xml:space="preserve"> cell culture flask with 70-80% cell confluence by trypsinization and followed by centrifugation at 750 rpm (Remi R8C) for 5 min. The harvested cells were diluted in 10 mM phosphate buffered saline (1X PBS) at a density of 5 × 10</w:t>
      </w:r>
      <w:r w:rsidRPr="00F04543">
        <w:rPr>
          <w:rFonts w:ascii="Times New Roman" w:hAnsi="Times New Roman" w:cs="Times New Roman"/>
          <w:sz w:val="24"/>
          <w:vertAlign w:val="superscript"/>
        </w:rPr>
        <w:t>6</w:t>
      </w:r>
      <w:r w:rsidRPr="00F04543">
        <w:rPr>
          <w:rFonts w:ascii="Times New Roman" w:hAnsi="Times New Roman" w:cs="Times New Roman"/>
          <w:sz w:val="24"/>
        </w:rPr>
        <w:t> cells, and 200 µl of viable cell solution were injected into the peritoneal cavity of each recipient mouse of 21±1 g body weight and allowed to multiply. The EAC cells were withdrawn from peritoneal cavity of the donor mice after 8–10 days of inoculation and diluted in 1X PBS and centrifuged at 750 rpm (Remi R8C) for 5 minutes and the cell pellet was resuspended in sterile 10 mM PBS which was injected (100 µl at 1 × 10</w:t>
      </w:r>
      <w:r w:rsidRPr="00F04543">
        <w:rPr>
          <w:rFonts w:ascii="Times New Roman" w:hAnsi="Times New Roman" w:cs="Times New Roman"/>
          <w:sz w:val="24"/>
          <w:vertAlign w:val="superscript"/>
        </w:rPr>
        <w:t>7</w:t>
      </w:r>
      <w:r w:rsidRPr="00F04543">
        <w:rPr>
          <w:rFonts w:ascii="Times New Roman" w:hAnsi="Times New Roman" w:cs="Times New Roman"/>
          <w:sz w:val="24"/>
        </w:rPr>
        <w:t xml:space="preserve"> cells/ml) in left thigh of female mice for developing solid tumor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{"citationItems":[{"id":"ITEM-1","itemData":{"DOI":"10.1007/s11010-016-2839-2","ISSN":"1573-4919 (Electronic)","PMID":"27696310","abstract":"Cyclophosphamide (CP) is one of the widely used anticancer agents; however, it has serious deleterious effects on normal host cells due to its nonspecific action. The essential trace element Selenium (Se) is suggested to have chemopreventive and chemotherapeutic efficacy and currently used in pharmaceutical formulations. Previous report had shown Nano-Se could protect CP-induced hepatotoxicity and genotoxicity in normal Swiss albino mice; however, its role in cancer management is still not clear. The aim of present study is to investigate the chemoprotective efficacy of Nano-Se against CP-induced toxicity as well as its chemoenhancing capability when used along with CP in Swiss albino mice against Ehrlich's ascites carcinoma (EAC) cells. CP was administered (25 mg/kg b.w., i.p.) and Nano-Se was given (2 mg Se/kg b.w., p.o.) in concomitant and pretreatment schedule. Increase levels of serum hepatic marker, hepatic lipid peroxidation, DNA damage, and chromosomal aberration in CP-treated mice were significantly (P &lt; 0.05) reversed by Nano-Se. The lowered status of various antioxidant enzymes in tumor-bearing mice after CP treatment was also effectively increased by Nano-Se. Administration of Nano-Se along with CP caused a significant reduction in tumor volume, packed cell volume, viable tumor cell count, and increased the survivability of the tumor-bearing hosts. The results suggest that Nano-Se exhibits significant antitumor and antioxidant effects in EAC-bearing mice. The potential for Nano-Se to ameliorate the CP-evoked toxicity as well as to improve the chemotherapeutic effect could have beneficial implications for patients undergoing chemotherapy with CP.","author":[{"dropping-particle":"","family":"Bhattacharjee","given":"Arin","non-dropping-particle":"","parse-names":false,"suffix":""},{"dropping-particle":"","family":"Basu","given":"Abhishek","non-dropping-particle":"","parse-names":false,"suffix":""},{"dropping-particle":"","family":"Biswas","given":"Jaydip","non-dropping-particle":"","parse-names":false,"suffix":""},{"dropping-particle":"","family":"Sen","given":"Tuhinadri","non-dropping-particle":"","parse-names":false,"suffix":""},{"dropping-particle":"","family":"Bhattacharya","given":"Sudin","non-dropping-particle":"","parse-names":false,"suffix":""}],"container-title":"Molecular and cellular biochemistry","id":"ITEM-1","issue":"1-2","issued":{"date-parts":[["2017","1"]]},"language":"eng","page":"13-33","publisher-place":"Netherlands","title":"Chemoprotective and chemosensitizing properties of selenium nanoparticle (Nano-Se) during adjuvant therapy with cyclophosphamide in tumor-bearing mice.","type":"article-journal","volume":"424"},"uris":["http://www.mendeley.com/documents/?uuid=431ed8fc-ef73-4a78-a999-93c4552ee3e8"]},{"id":"ITEM-2","itemData":{"DOI":"10.1038/s41598-018-23669-9","ISSN":"2045-2322 (Electronic)","PMID":"29618792","abstract":"Cardiomyopathy is one of the characteristic features of cancer. In this study, we establish a suitable model to study breast cancer-induced cardiomyopathy in mice. We used Ehrlich Ascites Carcinoma cells to induce subcutaneous tumor in 129/SvJ mice and studied its effect on heart function. In Ehrlich Ascites Carcinoma bearing mice, we found significant reduction in left ventricle wall thickness, ejection fraction, and fractional shortening increase in left ventricle internal diameter. We found higher muscle atrophy, degeneration, fibrosis, expression of cell-adhesion molecules and cell death in tumor-bearing mice hearts. As observed in cancer patients, we found that mTOR, a key signalling molecule responsible for maintaining cell growth and autophagy was suppressed in this model. Tumor bearing mice hearts show increased expression and nuclear localization of TFEB and FoxO3a transcription factors, which are involved in the upregulation of muscle atrophy genes, lysosomal biogenesis genes and autophagy genes. We propose that Ehrlich Ascites Carcinoma induced tumor can be used as a model to identify potential therapeutic targets for the treatment of heart failure in patients suffering from cancer-induced cardiomyopathy. This model can also be used to test the adverse consequences of cancer chemotherapy in heart.","author":[{"dropping-particle":"","family":"Mishra","given":"Sneha","non-dropping-particle":"","parse-names":false,"suffix":""},{"dropping-particle":"","family":"Tamta","given":"Ankit Kumar","non-dropping-particle":"","parse-names":false,"suffix":""},{"dropping-particle":"","family":"Sarikhani","given":"Mohsen","non-dropping-particle":"","parse-names":false,"suffix":""},{"dropping-particle":"","family":"Desingu","given":"Perumal Arumugam","non-dropping-particle":"","parse-names":false,"suffix":""},{"dropping-particle":"","family":"Kizkekra","given":"Shruti M","non-dropping-particle":"","parse-names":false,"suffix":""},{"dropping-particle":"","family":"Pandit","given":"Anwit Shriniwas","non-dropping-particle":"","parse-names":false,"suffix":""},{"dropping-particle":"","family":"Kumar","given":"Shweta","non-dropping-particle":"","parse-names":false,"suffix":""},{"dropping-particle":"","family":"Khan","given":"Danish","non-dropping-particle":"","parse-names":false,"suffix":""},{"dropping-particle":"","family":"Raghavan","given":"Sathees C","non-dropping-particle":"","parse-names":false,"suffix":""},{"dropping-particle":"","family":"Sundaresan","given":"Nagalingam R","non-dropping-particle":"","parse-names":false,"suffix":""}],"container-title":"Scientific reports","id":"ITEM-2","issue":"1","issued":{"date-parts":[["2018","4"]]},"language":"eng","page":"5599","publisher-place":"England","title":"Subcutaneous Ehrlich Ascites Carcinoma mice model for studying cancer-induced cardiomyopathy.","type":"article-journal","volume":"8"},"uris":["http://www.mendeley.com/documents/?uuid=0cd18405-4059-40bd-870e-faa20596d72d"]}],"mendeley":{"formattedCitation":"[51, 56]","plainTextFormattedCitation":"[51, 56]","previouslyFormattedCitation":"&lt;sup&gt;51,56&lt;/sup&gt;"},"properties":{"noteIndex":0},"schema":"https://github.com/citation-style-language/schema/raw/master/csl-citation.json"}</w:instrText>
      </w:r>
      <w:r>
        <w:rPr>
          <w:rFonts w:ascii="Times New Roman" w:hAnsi="Times New Roman" w:cs="Times New Roman"/>
          <w:sz w:val="24"/>
        </w:rPr>
        <w:fldChar w:fldCharType="separate"/>
      </w:r>
      <w:r w:rsidRPr="00311558">
        <w:rPr>
          <w:rFonts w:ascii="Times New Roman" w:hAnsi="Times New Roman" w:cs="Times New Roman"/>
          <w:noProof/>
          <w:sz w:val="24"/>
        </w:rPr>
        <w:t>[51, 56]</w:t>
      </w:r>
      <w:r>
        <w:rPr>
          <w:rFonts w:ascii="Times New Roman" w:hAnsi="Times New Roman" w:cs="Times New Roman"/>
          <w:sz w:val="24"/>
        </w:rPr>
        <w:fldChar w:fldCharType="end"/>
      </w:r>
      <w:r w:rsidRPr="00F04543">
        <w:rPr>
          <w:rFonts w:ascii="Times New Roman" w:hAnsi="Times New Roman" w:cs="Times New Roman"/>
          <w:sz w:val="24"/>
        </w:rPr>
        <w:t xml:space="preserve">. </w:t>
      </w:r>
    </w:p>
    <w:p w:rsidR="000F0BC6" w:rsidRPr="00F04543" w:rsidRDefault="000F0BC6" w:rsidP="000F0BC6">
      <w:pPr>
        <w:jc w:val="both"/>
        <w:rPr>
          <w:rFonts w:ascii="Times New Roman" w:hAnsi="Times New Roman" w:cs="Times New Roman"/>
          <w:b/>
          <w:sz w:val="24"/>
        </w:rPr>
      </w:pPr>
      <w:r w:rsidRPr="00F04543">
        <w:rPr>
          <w:rFonts w:ascii="Times New Roman" w:hAnsi="Times New Roman" w:cs="Times New Roman"/>
          <w:b/>
          <w:sz w:val="24"/>
        </w:rPr>
        <w:t xml:space="preserve">Pilot study for effective dose </w:t>
      </w:r>
      <w:r>
        <w:rPr>
          <w:rFonts w:ascii="Times New Roman" w:hAnsi="Times New Roman" w:cs="Times New Roman"/>
          <w:b/>
          <w:sz w:val="24"/>
        </w:rPr>
        <w:t>determination</w:t>
      </w:r>
    </w:p>
    <w:p w:rsidR="000F0BC6" w:rsidRPr="00F04543" w:rsidRDefault="000F0BC6" w:rsidP="000F0BC6">
      <w:pPr>
        <w:jc w:val="both"/>
        <w:rPr>
          <w:rFonts w:ascii="Times New Roman" w:hAnsi="Times New Roman" w:cs="Times New Roman"/>
          <w:sz w:val="24"/>
        </w:rPr>
      </w:pPr>
      <w:r w:rsidRPr="00F04543">
        <w:rPr>
          <w:rFonts w:ascii="Times New Roman" w:hAnsi="Times New Roman" w:cs="Times New Roman"/>
          <w:sz w:val="24"/>
        </w:rPr>
        <w:t xml:space="preserve">After 4 days of EAC inoculation, a pilot study was set up for determination of effective dose in EAC induced tumor-bearing mice which were divided into four groups of 3 mice in each. The tumor-bearing mice were administered 200, 100 and 50 mg/kg body weight of ethyl extract of test drug in group 1, 2 and 3 respectively while100 µl distilled water was given to the mice of group 4 </w:t>
      </w:r>
      <w:r w:rsidRPr="00F04543">
        <w:rPr>
          <w:rFonts w:ascii="Times New Roman" w:hAnsi="Times New Roman" w:cs="Times New Roman"/>
          <w:sz w:val="24"/>
        </w:rPr>
        <w:lastRenderedPageBreak/>
        <w:t xml:space="preserve">named as control once daily for 14 days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{"citationItems":[{"id":"ITEM-1","itemData":{"DOI":"10.1038/srep06147","ISSN":"2045-2322 (Electronic)","PMID":"25142835","abstract":"Intake of fruits rich in antioxidants in daily diet is suggested to be cancer preventive. Sapota is a tropical fruit grown and consumed extensively in several countries including India and Mexico. Here we show that methanolic extracts of Sapota fruit (MESF) induces cytotoxicity in a dose-dependent manner in cancer cell lines. Cell cycle analysis suggested activation of apoptosis, without arresting cell cycle progression. Annexin V-propidium iodide double-staining demonstrated that Sapota fruit extracts potentiate apoptosis rather than necrosis in cancer cells. Loss of mitochondrial membrane potential, upregulation of proapoptotic proteins, activation of MCL-1, PARP-1, and Caspase 9 suggest that MESF treatment leads to activation of mitochondrial pathway of apoptosis. More importantly, we show that MESF treatment leads to significant inhibition of tumor growth and a 3-fold increase in the life span of tumor bearing animals compared to untreated tumor mice.","author":[{"dropping-particle":"","family":"Srivastava","given":"Mrinal","non-dropping-particle":"","parse-names":false,"suffix":""},{"dropping-particle":"","family":"Hegde","given":"Mahesh","non-dropping-particle":"","parse-names":false,"suffix":""},{"dropping-particle":"","family":"Chiruvella","given":"Kishore K","non-dropping-particle":"","parse-names":false,"suffix":""},{"dropping-particle":"","family":"Koroth","given":"Jinsha","non-dropping-particle":"","parse-names":false,"suffix":""},{"dropping-particle":"","family":"Bhattacharya","given":"Souvari","non-dropping-particle":"","parse-names":false,"suffix":""},{"dropping-particle":"","family":"Choudhary","given":"Bibha","non-dropping-particle":"","parse-names":false,"suffix":""},{"dropping-particle":"","family":"Raghavan","given":"Sathees C","non-dropping-particle":"","parse-names":false,"suffix":""}],"container-title":"Scientific reports","id":"ITEM-1","issued":{"date-parts":[["2014","8"]]},"language":"eng","page":"6147","publisher-place":"England","title":"Sapodilla plum (Achras sapota) induces apoptosis in cancer cell lines and inhibits tumor progression in mice.","type":"article-journal","volume":"4"},"uris":["http://www.mendeley.com/documents/?uuid=174dc67c-d676-4828-b5b2-a4c92ce523a4"]}],"mendeley":{"formattedCitation":"[53]","plainTextFormattedCitation":"[53]","previouslyFormattedCitation":"&lt;sup&gt;53&lt;/sup&gt;"},"properties":{"noteIndex":0},"schema":"https://github.com/citation-style-language/schema/raw/master/csl-citation.json"}</w:instrText>
      </w:r>
      <w:r>
        <w:rPr>
          <w:rFonts w:ascii="Times New Roman" w:hAnsi="Times New Roman" w:cs="Times New Roman"/>
          <w:sz w:val="24"/>
        </w:rPr>
        <w:fldChar w:fldCharType="separate"/>
      </w:r>
      <w:r w:rsidRPr="00311558">
        <w:rPr>
          <w:rFonts w:ascii="Times New Roman" w:hAnsi="Times New Roman" w:cs="Times New Roman"/>
          <w:noProof/>
          <w:sz w:val="24"/>
        </w:rPr>
        <w:t>[53]</w:t>
      </w:r>
      <w:r>
        <w:rPr>
          <w:rFonts w:ascii="Times New Roman" w:hAnsi="Times New Roman" w:cs="Times New Roman"/>
          <w:sz w:val="24"/>
        </w:rPr>
        <w:fldChar w:fldCharType="end"/>
      </w:r>
      <w:r w:rsidRPr="00F04543">
        <w:rPr>
          <w:rFonts w:ascii="Times New Roman" w:hAnsi="Times New Roman" w:cs="Times New Roman"/>
          <w:sz w:val="24"/>
        </w:rPr>
        <w:t xml:space="preserve"> along with normal diet and water </w:t>
      </w:r>
      <w:r w:rsidRPr="00F04543">
        <w:rPr>
          <w:rFonts w:ascii="Times New Roman" w:hAnsi="Times New Roman" w:cs="Times New Roman"/>
          <w:i/>
          <w:sz w:val="24"/>
        </w:rPr>
        <w:t>ad libitum</w:t>
      </w:r>
      <w:r w:rsidRPr="00F04543">
        <w:rPr>
          <w:rFonts w:ascii="Times New Roman" w:hAnsi="Times New Roman" w:cs="Times New Roman"/>
          <w:sz w:val="24"/>
        </w:rPr>
        <w:t>. At the end of 14</w:t>
      </w:r>
      <w:r w:rsidRPr="00F04543">
        <w:rPr>
          <w:rFonts w:ascii="Times New Roman" w:hAnsi="Times New Roman" w:cs="Times New Roman"/>
          <w:sz w:val="24"/>
          <w:vertAlign w:val="superscript"/>
        </w:rPr>
        <w:t>th</w:t>
      </w:r>
      <w:r w:rsidRPr="00F04543">
        <w:rPr>
          <w:rFonts w:ascii="Times New Roman" w:hAnsi="Times New Roman" w:cs="Times New Roman"/>
          <w:sz w:val="24"/>
        </w:rPr>
        <w:t xml:space="preserve"> days, the mice were sacrificed and tumors were dissected out for their volume calculation. Tumor size was measured by Vernier calipers using the formula V = 0.5 × a × b</w:t>
      </w:r>
      <w:r w:rsidRPr="00F04543">
        <w:rPr>
          <w:rFonts w:ascii="Times New Roman" w:hAnsi="Times New Roman" w:cs="Times New Roman"/>
          <w:sz w:val="24"/>
          <w:vertAlign w:val="superscript"/>
        </w:rPr>
        <w:t>2</w:t>
      </w:r>
      <w:r w:rsidRPr="00F04543">
        <w:rPr>
          <w:rFonts w:ascii="Times New Roman" w:hAnsi="Times New Roman" w:cs="Times New Roman"/>
          <w:sz w:val="24"/>
        </w:rPr>
        <w:t>, where ‘a' and ‘b' indicates the major and minor diameter, respectively.</w:t>
      </w:r>
    </w:p>
    <w:p w:rsidR="000F0BC6" w:rsidRDefault="000F0BC6" w:rsidP="000F0BC6">
      <w:pPr>
        <w:spacing w:after="0"/>
        <w:rPr>
          <w:rFonts w:ascii="Times New Roman" w:hAnsi="Times New Roman" w:cs="Times New Roman"/>
          <w:b/>
          <w:sz w:val="28"/>
        </w:rPr>
      </w:pPr>
    </w:p>
    <w:p w:rsidR="000F0BC6" w:rsidRDefault="000F0BC6" w:rsidP="000F0BC6">
      <w:pPr>
        <w:spacing w:after="0"/>
        <w:rPr>
          <w:rFonts w:ascii="Times New Roman" w:hAnsi="Times New Roman" w:cs="Times New Roman"/>
          <w:b/>
          <w:sz w:val="28"/>
        </w:rPr>
      </w:pPr>
    </w:p>
    <w:p w:rsidR="000F0BC6" w:rsidRDefault="000F0BC6" w:rsidP="000F0BC6">
      <w:pPr>
        <w:spacing w:after="0"/>
        <w:rPr>
          <w:rFonts w:ascii="Times New Roman" w:hAnsi="Times New Roman" w:cs="Times New Roman"/>
          <w:b/>
          <w:sz w:val="28"/>
        </w:rPr>
      </w:pPr>
    </w:p>
    <w:p w:rsidR="000F0BC6" w:rsidRPr="00FA7105" w:rsidRDefault="000F0BC6" w:rsidP="000F0BC6">
      <w:pPr>
        <w:spacing w:after="0"/>
        <w:rPr>
          <w:rFonts w:ascii="Times New Roman" w:hAnsi="Times New Roman" w:cs="Times New Roman"/>
          <w:b/>
          <w:sz w:val="28"/>
        </w:rPr>
      </w:pPr>
      <w:r w:rsidRPr="00FA7105">
        <w:rPr>
          <w:rFonts w:ascii="Times New Roman" w:hAnsi="Times New Roman" w:cs="Times New Roman"/>
          <w:b/>
          <w:sz w:val="28"/>
        </w:rPr>
        <w:t>Supplement table 1</w:t>
      </w:r>
    </w:p>
    <w:p w:rsidR="000F0BC6" w:rsidRDefault="000F0BC6" w:rsidP="000F0BC6">
      <w:pPr>
        <w:rPr>
          <w:rFonts w:ascii="Times New Roman" w:hAnsi="Times New Roman" w:cs="Times New Roman"/>
          <w:sz w:val="28"/>
        </w:rPr>
      </w:pPr>
      <w:r>
        <w:rPr>
          <w:rFonts w:ascii="Times New Roman" w:hAnsi="Times New Roman" w:cs="Times New Roman"/>
          <w:sz w:val="28"/>
        </w:rPr>
        <w:t>Selective index of different extracts against cancer cell lines.</w:t>
      </w:r>
    </w:p>
    <w:tbl>
      <w:tblPr>
        <w:tblW w:w="9639" w:type="dxa"/>
        <w:tblCellMar>
          <w:left w:w="0" w:type="dxa"/>
          <w:right w:w="0" w:type="dxa"/>
        </w:tblCellMar>
        <w:tblLook w:val="04A0" w:firstRow="1" w:lastRow="0" w:firstColumn="1" w:lastColumn="0" w:noHBand="0" w:noVBand="1"/>
      </w:tblPr>
      <w:tblGrid>
        <w:gridCol w:w="1899"/>
        <w:gridCol w:w="1260"/>
        <w:gridCol w:w="1350"/>
        <w:gridCol w:w="1260"/>
        <w:gridCol w:w="1260"/>
        <w:gridCol w:w="1260"/>
        <w:gridCol w:w="1350"/>
      </w:tblGrid>
      <w:tr w:rsidR="000F0BC6" w:rsidRPr="006460E2" w:rsidTr="00913C3A">
        <w:trPr>
          <w:trHeight w:val="757"/>
        </w:trPr>
        <w:tc>
          <w:tcPr>
            <w:tcW w:w="1899" w:type="dxa"/>
            <w:tcBorders>
              <w:top w:val="single" w:sz="8" w:space="0" w:color="000000"/>
              <w:left w:val="single" w:sz="8" w:space="0" w:color="000000"/>
              <w:bottom w:val="single" w:sz="8" w:space="0" w:color="000000"/>
              <w:right w:val="single" w:sz="8" w:space="0" w:color="000000"/>
            </w:tcBorders>
            <w:shd w:val="clear" w:color="auto" w:fill="auto"/>
            <w:tcMar>
              <w:top w:w="17" w:type="dxa"/>
              <w:left w:w="99" w:type="dxa"/>
              <w:bottom w:w="0" w:type="dxa"/>
              <w:right w:w="99" w:type="dxa"/>
            </w:tcMar>
            <w:vAlign w:val="center"/>
            <w:hideMark/>
          </w:tcPr>
          <w:p w:rsidR="000F0BC6" w:rsidRPr="006460E2" w:rsidRDefault="000F0BC6" w:rsidP="00913C3A">
            <w:pPr>
              <w:rPr>
                <w:rFonts w:ascii="Times New Roman" w:hAnsi="Times New Roman" w:cs="Times New Roman"/>
                <w:sz w:val="24"/>
              </w:rPr>
            </w:pPr>
            <w:r w:rsidRPr="006460E2">
              <w:rPr>
                <w:rFonts w:ascii="Times New Roman" w:hAnsi="Times New Roman" w:cs="Times New Roman"/>
                <w:b/>
                <w:bCs/>
                <w:sz w:val="24"/>
              </w:rPr>
              <w:t xml:space="preserve">Selective Index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99" w:type="dxa"/>
              <w:bottom w:w="0" w:type="dxa"/>
              <w:right w:w="99" w:type="dxa"/>
            </w:tcMar>
            <w:vAlign w:val="center"/>
            <w:hideMark/>
          </w:tcPr>
          <w:p w:rsidR="000F0BC6" w:rsidRPr="006460E2" w:rsidRDefault="000F0BC6" w:rsidP="00913C3A">
            <w:pPr>
              <w:jc w:val="center"/>
              <w:rPr>
                <w:rFonts w:ascii="Times New Roman" w:hAnsi="Times New Roman" w:cs="Times New Roman"/>
                <w:sz w:val="24"/>
              </w:rPr>
            </w:pPr>
            <w:r w:rsidRPr="006460E2">
              <w:rPr>
                <w:rFonts w:ascii="Times New Roman" w:hAnsi="Times New Roman" w:cs="Times New Roman"/>
                <w:b/>
                <w:bCs/>
                <w:sz w:val="24"/>
              </w:rPr>
              <w:t>MCF-7</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7" w:type="dxa"/>
              <w:left w:w="99" w:type="dxa"/>
              <w:bottom w:w="0" w:type="dxa"/>
              <w:right w:w="99" w:type="dxa"/>
            </w:tcMar>
            <w:vAlign w:val="center"/>
            <w:hideMark/>
          </w:tcPr>
          <w:p w:rsidR="000F0BC6" w:rsidRPr="006460E2" w:rsidRDefault="000F0BC6" w:rsidP="00913C3A">
            <w:pPr>
              <w:jc w:val="center"/>
              <w:rPr>
                <w:rFonts w:ascii="Times New Roman" w:hAnsi="Times New Roman" w:cs="Times New Roman"/>
                <w:sz w:val="24"/>
              </w:rPr>
            </w:pPr>
            <w:r w:rsidRPr="006460E2">
              <w:rPr>
                <w:rFonts w:ascii="Times New Roman" w:hAnsi="Times New Roman" w:cs="Times New Roman"/>
                <w:b/>
                <w:bCs/>
                <w:sz w:val="24"/>
              </w:rPr>
              <w:t>MDA-231</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99" w:type="dxa"/>
              <w:bottom w:w="0" w:type="dxa"/>
              <w:right w:w="99" w:type="dxa"/>
            </w:tcMar>
            <w:vAlign w:val="center"/>
            <w:hideMark/>
          </w:tcPr>
          <w:p w:rsidR="000F0BC6" w:rsidRPr="006460E2" w:rsidRDefault="000F0BC6" w:rsidP="00913C3A">
            <w:pPr>
              <w:jc w:val="center"/>
              <w:rPr>
                <w:rFonts w:ascii="Times New Roman" w:hAnsi="Times New Roman" w:cs="Times New Roman"/>
                <w:sz w:val="24"/>
              </w:rPr>
            </w:pPr>
            <w:r w:rsidRPr="006460E2">
              <w:rPr>
                <w:rFonts w:ascii="Times New Roman" w:hAnsi="Times New Roman" w:cs="Times New Roman"/>
                <w:b/>
                <w:bCs/>
                <w:sz w:val="24"/>
              </w:rPr>
              <w:t>HCT-15</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99" w:type="dxa"/>
              <w:bottom w:w="0" w:type="dxa"/>
              <w:right w:w="99" w:type="dxa"/>
            </w:tcMar>
            <w:vAlign w:val="center"/>
            <w:hideMark/>
          </w:tcPr>
          <w:p w:rsidR="000F0BC6" w:rsidRPr="006460E2" w:rsidRDefault="000F0BC6" w:rsidP="00913C3A">
            <w:pPr>
              <w:jc w:val="center"/>
              <w:rPr>
                <w:rFonts w:ascii="Times New Roman" w:hAnsi="Times New Roman" w:cs="Times New Roman"/>
                <w:sz w:val="24"/>
              </w:rPr>
            </w:pPr>
            <w:r w:rsidRPr="006460E2">
              <w:rPr>
                <w:rFonts w:ascii="Times New Roman" w:hAnsi="Times New Roman" w:cs="Times New Roman"/>
                <w:b/>
                <w:bCs/>
                <w:sz w:val="24"/>
              </w:rPr>
              <w:t>MIN6</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99" w:type="dxa"/>
              <w:bottom w:w="0" w:type="dxa"/>
              <w:right w:w="99" w:type="dxa"/>
            </w:tcMar>
            <w:vAlign w:val="center"/>
            <w:hideMark/>
          </w:tcPr>
          <w:p w:rsidR="000F0BC6" w:rsidRPr="006460E2" w:rsidRDefault="000F0BC6" w:rsidP="00913C3A">
            <w:pPr>
              <w:jc w:val="center"/>
              <w:rPr>
                <w:rFonts w:ascii="Times New Roman" w:hAnsi="Times New Roman" w:cs="Times New Roman"/>
                <w:sz w:val="24"/>
              </w:rPr>
            </w:pPr>
            <w:r w:rsidRPr="006460E2">
              <w:rPr>
                <w:rFonts w:ascii="Times New Roman" w:hAnsi="Times New Roman" w:cs="Times New Roman"/>
                <w:b/>
                <w:bCs/>
                <w:sz w:val="24"/>
              </w:rPr>
              <w:t>EAC</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7" w:type="dxa"/>
              <w:left w:w="99" w:type="dxa"/>
              <w:bottom w:w="0" w:type="dxa"/>
              <w:right w:w="99" w:type="dxa"/>
            </w:tcMar>
            <w:vAlign w:val="center"/>
            <w:hideMark/>
          </w:tcPr>
          <w:p w:rsidR="000F0BC6" w:rsidRPr="006460E2" w:rsidRDefault="000F0BC6" w:rsidP="00913C3A">
            <w:pPr>
              <w:jc w:val="center"/>
              <w:rPr>
                <w:rFonts w:ascii="Times New Roman" w:hAnsi="Times New Roman" w:cs="Times New Roman"/>
                <w:sz w:val="24"/>
              </w:rPr>
            </w:pPr>
            <w:r w:rsidRPr="006460E2">
              <w:rPr>
                <w:rFonts w:ascii="Times New Roman" w:hAnsi="Times New Roman" w:cs="Times New Roman"/>
                <w:b/>
                <w:bCs/>
                <w:sz w:val="24"/>
              </w:rPr>
              <w:t>L929</w:t>
            </w:r>
          </w:p>
        </w:tc>
      </w:tr>
      <w:tr w:rsidR="000F0BC6" w:rsidRPr="006460E2" w:rsidTr="00913C3A">
        <w:trPr>
          <w:trHeight w:val="846"/>
        </w:trPr>
        <w:tc>
          <w:tcPr>
            <w:tcW w:w="1899" w:type="dxa"/>
            <w:tcBorders>
              <w:top w:val="single" w:sz="8" w:space="0" w:color="000000"/>
              <w:left w:val="single" w:sz="8" w:space="0" w:color="000000"/>
              <w:bottom w:val="single" w:sz="8" w:space="0" w:color="000000"/>
              <w:right w:val="single" w:sz="8" w:space="0" w:color="000000"/>
            </w:tcBorders>
            <w:shd w:val="clear" w:color="auto" w:fill="auto"/>
            <w:tcMar>
              <w:top w:w="17" w:type="dxa"/>
              <w:left w:w="99" w:type="dxa"/>
              <w:bottom w:w="0" w:type="dxa"/>
              <w:right w:w="99" w:type="dxa"/>
            </w:tcMar>
            <w:vAlign w:val="center"/>
            <w:hideMark/>
          </w:tcPr>
          <w:p w:rsidR="000F0BC6" w:rsidRPr="006460E2" w:rsidRDefault="000F0BC6" w:rsidP="00913C3A">
            <w:pPr>
              <w:rPr>
                <w:rFonts w:ascii="Times New Roman" w:hAnsi="Times New Roman" w:cs="Times New Roman"/>
                <w:sz w:val="24"/>
              </w:rPr>
            </w:pPr>
            <w:r w:rsidRPr="006460E2">
              <w:rPr>
                <w:rFonts w:ascii="Times New Roman" w:hAnsi="Times New Roman" w:cs="Times New Roman"/>
                <w:b/>
                <w:bCs/>
                <w:sz w:val="24"/>
              </w:rPr>
              <w:t>BLPE</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99" w:type="dxa"/>
              <w:bottom w:w="0" w:type="dxa"/>
              <w:right w:w="99" w:type="dxa"/>
            </w:tcMar>
            <w:vAlign w:val="center"/>
            <w:hideMark/>
          </w:tcPr>
          <w:p w:rsidR="000F0BC6" w:rsidRPr="006460E2" w:rsidRDefault="000F0BC6" w:rsidP="00913C3A">
            <w:pPr>
              <w:jc w:val="center"/>
              <w:rPr>
                <w:rFonts w:ascii="Times New Roman" w:hAnsi="Times New Roman" w:cs="Times New Roman"/>
                <w:sz w:val="24"/>
              </w:rPr>
            </w:pPr>
            <w:r w:rsidRPr="006460E2">
              <w:rPr>
                <w:rFonts w:ascii="Times New Roman" w:hAnsi="Times New Roman" w:cs="Times New Roman"/>
                <w:sz w:val="24"/>
              </w:rPr>
              <w:t>14.92</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7" w:type="dxa"/>
              <w:left w:w="99" w:type="dxa"/>
              <w:bottom w:w="0" w:type="dxa"/>
              <w:right w:w="99" w:type="dxa"/>
            </w:tcMar>
            <w:vAlign w:val="center"/>
            <w:hideMark/>
          </w:tcPr>
          <w:p w:rsidR="000F0BC6" w:rsidRPr="006460E2" w:rsidRDefault="000F0BC6" w:rsidP="00913C3A">
            <w:pPr>
              <w:jc w:val="center"/>
              <w:rPr>
                <w:rFonts w:ascii="Times New Roman" w:hAnsi="Times New Roman" w:cs="Times New Roman"/>
                <w:sz w:val="24"/>
              </w:rPr>
            </w:pPr>
            <w:r w:rsidRPr="006460E2">
              <w:rPr>
                <w:rFonts w:ascii="Times New Roman" w:hAnsi="Times New Roman" w:cs="Times New Roman"/>
                <w:sz w:val="24"/>
              </w:rPr>
              <w:t>5.07</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F0BC6" w:rsidRPr="006460E2" w:rsidRDefault="000F0BC6" w:rsidP="00913C3A">
            <w:pPr>
              <w:jc w:val="center"/>
              <w:rPr>
                <w:rFonts w:ascii="Times New Roman" w:hAnsi="Times New Roman" w:cs="Times New Roman"/>
                <w:sz w:val="24"/>
              </w:rPr>
            </w:pPr>
            <w:r w:rsidRPr="006460E2">
              <w:rPr>
                <w:rFonts w:ascii="Times New Roman" w:hAnsi="Times New Roman" w:cs="Times New Roman"/>
                <w:sz w:val="24"/>
              </w:rPr>
              <w:t>4.69</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99" w:type="dxa"/>
              <w:bottom w:w="0" w:type="dxa"/>
              <w:right w:w="99" w:type="dxa"/>
            </w:tcMar>
            <w:vAlign w:val="center"/>
            <w:hideMark/>
          </w:tcPr>
          <w:p w:rsidR="000F0BC6" w:rsidRPr="006460E2" w:rsidRDefault="000F0BC6" w:rsidP="00913C3A">
            <w:pPr>
              <w:jc w:val="center"/>
              <w:rPr>
                <w:rFonts w:ascii="Times New Roman" w:hAnsi="Times New Roman" w:cs="Times New Roman"/>
                <w:sz w:val="24"/>
              </w:rPr>
            </w:pPr>
            <w:r w:rsidRPr="006460E2">
              <w:rPr>
                <w:rFonts w:ascii="Times New Roman" w:hAnsi="Times New Roman" w:cs="Times New Roman"/>
                <w:sz w:val="24"/>
              </w:rPr>
              <w:t>24.61</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99" w:type="dxa"/>
              <w:bottom w:w="0" w:type="dxa"/>
              <w:right w:w="99" w:type="dxa"/>
            </w:tcMar>
            <w:vAlign w:val="center"/>
            <w:hideMark/>
          </w:tcPr>
          <w:p w:rsidR="000F0BC6" w:rsidRPr="006460E2" w:rsidRDefault="000F0BC6" w:rsidP="00913C3A">
            <w:pPr>
              <w:jc w:val="center"/>
              <w:rPr>
                <w:rFonts w:ascii="Times New Roman" w:hAnsi="Times New Roman" w:cs="Times New Roman"/>
                <w:sz w:val="24"/>
              </w:rPr>
            </w:pPr>
            <w:r w:rsidRPr="006460E2">
              <w:rPr>
                <w:rFonts w:ascii="Times New Roman" w:hAnsi="Times New Roman" w:cs="Times New Roman"/>
                <w:sz w:val="24"/>
              </w:rPr>
              <w:t>3.79</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7" w:type="dxa"/>
              <w:left w:w="99" w:type="dxa"/>
              <w:bottom w:w="0" w:type="dxa"/>
              <w:right w:w="99" w:type="dxa"/>
            </w:tcMar>
            <w:vAlign w:val="center"/>
            <w:hideMark/>
          </w:tcPr>
          <w:p w:rsidR="000F0BC6" w:rsidRPr="006460E2" w:rsidRDefault="000F0BC6" w:rsidP="00913C3A">
            <w:pPr>
              <w:jc w:val="center"/>
              <w:rPr>
                <w:rFonts w:ascii="Times New Roman" w:hAnsi="Times New Roman" w:cs="Times New Roman"/>
                <w:sz w:val="24"/>
              </w:rPr>
            </w:pPr>
            <w:r w:rsidRPr="006460E2">
              <w:rPr>
                <w:rFonts w:ascii="Times New Roman" w:hAnsi="Times New Roman" w:cs="Times New Roman"/>
                <w:sz w:val="24"/>
              </w:rPr>
              <w:t>1.00</w:t>
            </w:r>
          </w:p>
        </w:tc>
      </w:tr>
      <w:tr w:rsidR="000F0BC6" w:rsidRPr="006460E2" w:rsidTr="00913C3A">
        <w:trPr>
          <w:trHeight w:val="895"/>
        </w:trPr>
        <w:tc>
          <w:tcPr>
            <w:tcW w:w="1899" w:type="dxa"/>
            <w:tcBorders>
              <w:top w:val="single" w:sz="8" w:space="0" w:color="000000"/>
              <w:left w:val="single" w:sz="8" w:space="0" w:color="000000"/>
              <w:bottom w:val="single" w:sz="8" w:space="0" w:color="000000"/>
              <w:right w:val="single" w:sz="8" w:space="0" w:color="000000"/>
            </w:tcBorders>
            <w:shd w:val="clear" w:color="auto" w:fill="auto"/>
            <w:tcMar>
              <w:top w:w="17" w:type="dxa"/>
              <w:left w:w="99" w:type="dxa"/>
              <w:bottom w:w="0" w:type="dxa"/>
              <w:right w:w="99" w:type="dxa"/>
            </w:tcMar>
            <w:vAlign w:val="center"/>
            <w:hideMark/>
          </w:tcPr>
          <w:p w:rsidR="000F0BC6" w:rsidRPr="006460E2" w:rsidRDefault="000F0BC6" w:rsidP="00913C3A">
            <w:pPr>
              <w:rPr>
                <w:rFonts w:ascii="Times New Roman" w:hAnsi="Times New Roman" w:cs="Times New Roman"/>
                <w:sz w:val="24"/>
              </w:rPr>
            </w:pPr>
            <w:r w:rsidRPr="006460E2">
              <w:rPr>
                <w:rFonts w:ascii="Times New Roman" w:hAnsi="Times New Roman" w:cs="Times New Roman"/>
                <w:b/>
                <w:bCs/>
                <w:sz w:val="24"/>
              </w:rPr>
              <w:t>BLEA</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99" w:type="dxa"/>
              <w:bottom w:w="0" w:type="dxa"/>
              <w:right w:w="99" w:type="dxa"/>
            </w:tcMar>
            <w:vAlign w:val="center"/>
            <w:hideMark/>
          </w:tcPr>
          <w:p w:rsidR="000F0BC6" w:rsidRPr="006460E2" w:rsidRDefault="000F0BC6" w:rsidP="00913C3A">
            <w:pPr>
              <w:jc w:val="center"/>
              <w:rPr>
                <w:rFonts w:ascii="Times New Roman" w:hAnsi="Times New Roman" w:cs="Times New Roman"/>
                <w:sz w:val="24"/>
              </w:rPr>
            </w:pPr>
            <w:r w:rsidRPr="006460E2">
              <w:rPr>
                <w:rFonts w:ascii="Times New Roman" w:hAnsi="Times New Roman" w:cs="Times New Roman"/>
                <w:b/>
                <w:bCs/>
                <w:sz w:val="24"/>
              </w:rPr>
              <w:t>52.17</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7" w:type="dxa"/>
              <w:left w:w="99" w:type="dxa"/>
              <w:bottom w:w="0" w:type="dxa"/>
              <w:right w:w="99" w:type="dxa"/>
            </w:tcMar>
            <w:vAlign w:val="center"/>
            <w:hideMark/>
          </w:tcPr>
          <w:p w:rsidR="000F0BC6" w:rsidRPr="006460E2" w:rsidRDefault="000F0BC6" w:rsidP="00913C3A">
            <w:pPr>
              <w:jc w:val="center"/>
              <w:rPr>
                <w:rFonts w:ascii="Times New Roman" w:hAnsi="Times New Roman" w:cs="Times New Roman"/>
                <w:sz w:val="24"/>
              </w:rPr>
            </w:pPr>
            <w:r w:rsidRPr="006460E2">
              <w:rPr>
                <w:rFonts w:ascii="Times New Roman" w:hAnsi="Times New Roman" w:cs="Times New Roman"/>
                <w:sz w:val="24"/>
              </w:rPr>
              <w:t>2.36</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F0BC6" w:rsidRPr="006460E2" w:rsidRDefault="000F0BC6" w:rsidP="00913C3A">
            <w:pPr>
              <w:jc w:val="center"/>
              <w:rPr>
                <w:rFonts w:ascii="Times New Roman" w:hAnsi="Times New Roman" w:cs="Times New Roman"/>
                <w:sz w:val="24"/>
              </w:rPr>
            </w:pPr>
            <w:r w:rsidRPr="006460E2">
              <w:rPr>
                <w:rFonts w:ascii="Times New Roman" w:hAnsi="Times New Roman" w:cs="Times New Roman"/>
                <w:sz w:val="24"/>
              </w:rPr>
              <w:t>4.45</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99" w:type="dxa"/>
              <w:bottom w:w="0" w:type="dxa"/>
              <w:right w:w="99" w:type="dxa"/>
            </w:tcMar>
            <w:vAlign w:val="center"/>
            <w:hideMark/>
          </w:tcPr>
          <w:p w:rsidR="000F0BC6" w:rsidRPr="006460E2" w:rsidRDefault="000F0BC6" w:rsidP="00913C3A">
            <w:pPr>
              <w:jc w:val="center"/>
              <w:rPr>
                <w:rFonts w:ascii="Times New Roman" w:hAnsi="Times New Roman" w:cs="Times New Roman"/>
                <w:sz w:val="24"/>
              </w:rPr>
            </w:pPr>
            <w:r w:rsidRPr="006460E2">
              <w:rPr>
                <w:rFonts w:ascii="Times New Roman" w:hAnsi="Times New Roman" w:cs="Times New Roman"/>
                <w:sz w:val="24"/>
              </w:rPr>
              <w:t>1.88</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99" w:type="dxa"/>
              <w:bottom w:w="0" w:type="dxa"/>
              <w:right w:w="99" w:type="dxa"/>
            </w:tcMar>
            <w:vAlign w:val="center"/>
            <w:hideMark/>
          </w:tcPr>
          <w:p w:rsidR="000F0BC6" w:rsidRPr="006460E2" w:rsidRDefault="000F0BC6" w:rsidP="00913C3A">
            <w:pPr>
              <w:jc w:val="center"/>
              <w:rPr>
                <w:rFonts w:ascii="Times New Roman" w:hAnsi="Times New Roman" w:cs="Times New Roman"/>
                <w:sz w:val="24"/>
              </w:rPr>
            </w:pPr>
            <w:r w:rsidRPr="006460E2">
              <w:rPr>
                <w:rFonts w:ascii="Times New Roman" w:hAnsi="Times New Roman" w:cs="Times New Roman"/>
                <w:sz w:val="24"/>
              </w:rPr>
              <w:t>17.37</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7" w:type="dxa"/>
              <w:left w:w="99" w:type="dxa"/>
              <w:bottom w:w="0" w:type="dxa"/>
              <w:right w:w="99" w:type="dxa"/>
            </w:tcMar>
            <w:vAlign w:val="center"/>
            <w:hideMark/>
          </w:tcPr>
          <w:p w:rsidR="000F0BC6" w:rsidRPr="006460E2" w:rsidRDefault="000F0BC6" w:rsidP="00913C3A">
            <w:pPr>
              <w:jc w:val="center"/>
              <w:rPr>
                <w:rFonts w:ascii="Times New Roman" w:hAnsi="Times New Roman" w:cs="Times New Roman"/>
                <w:sz w:val="24"/>
              </w:rPr>
            </w:pPr>
            <w:r w:rsidRPr="006460E2">
              <w:rPr>
                <w:rFonts w:ascii="Times New Roman" w:hAnsi="Times New Roman" w:cs="Times New Roman"/>
                <w:sz w:val="24"/>
              </w:rPr>
              <w:t>1.00</w:t>
            </w:r>
          </w:p>
        </w:tc>
      </w:tr>
      <w:tr w:rsidR="000F0BC6" w:rsidRPr="006460E2" w:rsidTr="00913C3A">
        <w:trPr>
          <w:trHeight w:val="683"/>
        </w:trPr>
        <w:tc>
          <w:tcPr>
            <w:tcW w:w="1899" w:type="dxa"/>
            <w:tcBorders>
              <w:top w:val="single" w:sz="8" w:space="0" w:color="000000"/>
              <w:left w:val="single" w:sz="8" w:space="0" w:color="000000"/>
              <w:bottom w:val="single" w:sz="8" w:space="0" w:color="000000"/>
              <w:right w:val="single" w:sz="8" w:space="0" w:color="000000"/>
            </w:tcBorders>
            <w:shd w:val="clear" w:color="auto" w:fill="auto"/>
            <w:tcMar>
              <w:top w:w="17" w:type="dxa"/>
              <w:left w:w="99" w:type="dxa"/>
              <w:bottom w:w="0" w:type="dxa"/>
              <w:right w:w="99" w:type="dxa"/>
            </w:tcMar>
            <w:vAlign w:val="center"/>
            <w:hideMark/>
          </w:tcPr>
          <w:p w:rsidR="000F0BC6" w:rsidRPr="006460E2" w:rsidRDefault="000F0BC6" w:rsidP="00913C3A">
            <w:pPr>
              <w:rPr>
                <w:rFonts w:ascii="Times New Roman" w:hAnsi="Times New Roman" w:cs="Times New Roman"/>
                <w:sz w:val="24"/>
              </w:rPr>
            </w:pPr>
            <w:r w:rsidRPr="006460E2">
              <w:rPr>
                <w:rFonts w:ascii="Times New Roman" w:hAnsi="Times New Roman" w:cs="Times New Roman"/>
                <w:b/>
                <w:bCs/>
                <w:sz w:val="24"/>
              </w:rPr>
              <w:t>BLM</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99" w:type="dxa"/>
              <w:bottom w:w="0" w:type="dxa"/>
              <w:right w:w="99" w:type="dxa"/>
            </w:tcMar>
            <w:vAlign w:val="center"/>
            <w:hideMark/>
          </w:tcPr>
          <w:p w:rsidR="000F0BC6" w:rsidRPr="006460E2" w:rsidRDefault="000F0BC6" w:rsidP="00913C3A">
            <w:pPr>
              <w:jc w:val="center"/>
              <w:rPr>
                <w:rFonts w:ascii="Times New Roman" w:hAnsi="Times New Roman" w:cs="Times New Roman"/>
                <w:sz w:val="24"/>
              </w:rPr>
            </w:pPr>
            <w:r w:rsidRPr="006460E2">
              <w:rPr>
                <w:rFonts w:ascii="Times New Roman" w:hAnsi="Times New Roman" w:cs="Times New Roman"/>
                <w:sz w:val="24"/>
              </w:rPr>
              <w:t>17.96</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7" w:type="dxa"/>
              <w:left w:w="99" w:type="dxa"/>
              <w:bottom w:w="0" w:type="dxa"/>
              <w:right w:w="99" w:type="dxa"/>
            </w:tcMar>
            <w:vAlign w:val="center"/>
            <w:hideMark/>
          </w:tcPr>
          <w:p w:rsidR="000F0BC6" w:rsidRPr="006460E2" w:rsidRDefault="000F0BC6" w:rsidP="00913C3A">
            <w:pPr>
              <w:jc w:val="center"/>
              <w:rPr>
                <w:rFonts w:ascii="Times New Roman" w:hAnsi="Times New Roman" w:cs="Times New Roman"/>
                <w:sz w:val="24"/>
              </w:rPr>
            </w:pPr>
            <w:r w:rsidRPr="006460E2">
              <w:rPr>
                <w:rFonts w:ascii="Times New Roman" w:hAnsi="Times New Roman" w:cs="Times New Roman"/>
                <w:sz w:val="24"/>
              </w:rPr>
              <w:t>3.13</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F0BC6" w:rsidRPr="006460E2" w:rsidRDefault="000F0BC6" w:rsidP="00913C3A">
            <w:pPr>
              <w:jc w:val="center"/>
              <w:rPr>
                <w:rFonts w:ascii="Times New Roman" w:hAnsi="Times New Roman" w:cs="Times New Roman"/>
                <w:sz w:val="24"/>
              </w:rPr>
            </w:pPr>
            <w:r w:rsidRPr="006460E2">
              <w:rPr>
                <w:rFonts w:ascii="Times New Roman" w:hAnsi="Times New Roman" w:cs="Times New Roman"/>
                <w:sz w:val="24"/>
              </w:rPr>
              <w:t>1.11</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99" w:type="dxa"/>
              <w:bottom w:w="0" w:type="dxa"/>
              <w:right w:w="99" w:type="dxa"/>
            </w:tcMar>
            <w:vAlign w:val="center"/>
            <w:hideMark/>
          </w:tcPr>
          <w:p w:rsidR="000F0BC6" w:rsidRPr="006460E2" w:rsidRDefault="000F0BC6" w:rsidP="00913C3A">
            <w:pPr>
              <w:jc w:val="center"/>
              <w:rPr>
                <w:rFonts w:ascii="Times New Roman" w:hAnsi="Times New Roman" w:cs="Times New Roman"/>
                <w:sz w:val="24"/>
              </w:rPr>
            </w:pPr>
            <w:r w:rsidRPr="006460E2">
              <w:rPr>
                <w:rFonts w:ascii="Times New Roman" w:hAnsi="Times New Roman" w:cs="Times New Roman"/>
                <w:sz w:val="24"/>
              </w:rPr>
              <w:t>0.40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7" w:type="dxa"/>
              <w:left w:w="99" w:type="dxa"/>
              <w:bottom w:w="0" w:type="dxa"/>
              <w:right w:w="99" w:type="dxa"/>
            </w:tcMar>
            <w:vAlign w:val="center"/>
            <w:hideMark/>
          </w:tcPr>
          <w:p w:rsidR="000F0BC6" w:rsidRPr="006460E2" w:rsidRDefault="000F0BC6" w:rsidP="00913C3A">
            <w:pPr>
              <w:jc w:val="center"/>
              <w:rPr>
                <w:rFonts w:ascii="Times New Roman" w:hAnsi="Times New Roman" w:cs="Times New Roman"/>
                <w:sz w:val="24"/>
              </w:rPr>
            </w:pPr>
            <w:r w:rsidRPr="006460E2">
              <w:rPr>
                <w:rFonts w:ascii="Times New Roman" w:hAnsi="Times New Roman" w:cs="Times New Roman"/>
                <w:sz w:val="24"/>
              </w:rPr>
              <w:t>1.36</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7" w:type="dxa"/>
              <w:left w:w="99" w:type="dxa"/>
              <w:bottom w:w="0" w:type="dxa"/>
              <w:right w:w="99" w:type="dxa"/>
            </w:tcMar>
            <w:vAlign w:val="center"/>
            <w:hideMark/>
          </w:tcPr>
          <w:p w:rsidR="000F0BC6" w:rsidRPr="006460E2" w:rsidRDefault="000F0BC6" w:rsidP="00913C3A">
            <w:pPr>
              <w:jc w:val="center"/>
              <w:rPr>
                <w:rFonts w:ascii="Times New Roman" w:hAnsi="Times New Roman" w:cs="Times New Roman"/>
                <w:sz w:val="24"/>
              </w:rPr>
            </w:pPr>
            <w:r w:rsidRPr="006460E2">
              <w:rPr>
                <w:rFonts w:ascii="Times New Roman" w:hAnsi="Times New Roman" w:cs="Times New Roman"/>
                <w:sz w:val="24"/>
              </w:rPr>
              <w:t>1.00</w:t>
            </w:r>
          </w:p>
        </w:tc>
      </w:tr>
    </w:tbl>
    <w:p w:rsidR="000F0BC6" w:rsidRDefault="000F0BC6" w:rsidP="000F0BC6">
      <w:pPr>
        <w:rPr>
          <w:rFonts w:ascii="Times New Roman" w:hAnsi="Times New Roman" w:cs="Times New Roman"/>
          <w:sz w:val="28"/>
        </w:rPr>
      </w:pPr>
    </w:p>
    <w:p w:rsidR="000F0BC6" w:rsidRDefault="000F0BC6" w:rsidP="000F0BC6">
      <w:pPr>
        <w:rPr>
          <w:rFonts w:ascii="Times New Roman" w:hAnsi="Times New Roman" w:cs="Times New Roman"/>
          <w:sz w:val="28"/>
        </w:rPr>
      </w:pPr>
      <w:r>
        <w:rPr>
          <w:rFonts w:ascii="Times New Roman" w:hAnsi="Times New Roman" w:cs="Times New Roman"/>
          <w:sz w:val="28"/>
        </w:rPr>
        <w:br w:type="page"/>
      </w:r>
    </w:p>
    <w:p w:rsidR="000F0BC6" w:rsidRPr="00FA7105" w:rsidRDefault="000F0BC6" w:rsidP="000F0BC6">
      <w:pPr>
        <w:spacing w:after="0"/>
        <w:rPr>
          <w:rFonts w:ascii="Times New Roman" w:hAnsi="Times New Roman" w:cs="Times New Roman"/>
          <w:b/>
          <w:sz w:val="28"/>
        </w:rPr>
      </w:pPr>
      <w:r w:rsidRPr="00FA7105">
        <w:rPr>
          <w:rFonts w:ascii="Times New Roman" w:hAnsi="Times New Roman" w:cs="Times New Roman"/>
          <w:b/>
          <w:sz w:val="28"/>
        </w:rPr>
        <w:lastRenderedPageBreak/>
        <w:t>Supplement table 2</w:t>
      </w:r>
    </w:p>
    <w:p w:rsidR="000F0BC6" w:rsidRDefault="000F0BC6" w:rsidP="000F0BC6">
      <w:pPr>
        <w:rPr>
          <w:rFonts w:ascii="Times New Roman" w:hAnsi="Times New Roman" w:cs="Times New Roman"/>
          <w:sz w:val="28"/>
        </w:rPr>
      </w:pPr>
      <w:r>
        <w:rPr>
          <w:rFonts w:ascii="Times New Roman" w:hAnsi="Times New Roman" w:cs="Times New Roman"/>
          <w:sz w:val="28"/>
        </w:rPr>
        <w:t>Observational study for BLEA oral toxicity in mice (OECD test 425).</w:t>
      </w:r>
    </w:p>
    <w:tbl>
      <w:tblPr>
        <w:tblW w:w="11430" w:type="dxa"/>
        <w:tblInd w:w="-904" w:type="dxa"/>
        <w:tblCellMar>
          <w:left w:w="0" w:type="dxa"/>
          <w:right w:w="0" w:type="dxa"/>
        </w:tblCellMar>
        <w:tblLook w:val="04A0" w:firstRow="1" w:lastRow="0" w:firstColumn="1" w:lastColumn="0" w:noHBand="0" w:noVBand="1"/>
      </w:tblPr>
      <w:tblGrid>
        <w:gridCol w:w="2610"/>
        <w:gridCol w:w="630"/>
        <w:gridCol w:w="630"/>
        <w:gridCol w:w="630"/>
        <w:gridCol w:w="630"/>
        <w:gridCol w:w="630"/>
        <w:gridCol w:w="630"/>
        <w:gridCol w:w="630"/>
        <w:gridCol w:w="630"/>
        <w:gridCol w:w="630"/>
        <w:gridCol w:w="630"/>
        <w:gridCol w:w="630"/>
        <w:gridCol w:w="630"/>
        <w:gridCol w:w="630"/>
        <w:gridCol w:w="630"/>
      </w:tblGrid>
      <w:tr w:rsidR="000F0BC6" w:rsidRPr="008B7A9C" w:rsidTr="00913C3A">
        <w:trPr>
          <w:trHeight w:val="377"/>
        </w:trPr>
        <w:tc>
          <w:tcPr>
            <w:tcW w:w="2610"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vAlign w:val="center"/>
            <w:hideMark/>
          </w:tcPr>
          <w:p w:rsidR="000F0BC6" w:rsidRPr="008B7A9C" w:rsidRDefault="000F0BC6" w:rsidP="00913C3A">
            <w:pPr>
              <w:spacing w:after="0"/>
              <w:rPr>
                <w:rFonts w:ascii="Times New Roman" w:hAnsi="Times New Roman" w:cs="Times New Roman"/>
                <w:sz w:val="28"/>
              </w:rPr>
            </w:pPr>
            <w:r w:rsidRPr="008B7A9C">
              <w:rPr>
                <w:rFonts w:ascii="Times New Roman" w:hAnsi="Times New Roman" w:cs="Times New Roman"/>
                <w:b/>
                <w:bCs/>
                <w:sz w:val="28"/>
              </w:rPr>
              <w:t xml:space="preserve">Observation </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vAlign w:val="center"/>
            <w:hideMark/>
          </w:tcPr>
          <w:p w:rsidR="000F0BC6" w:rsidRPr="008B7A9C" w:rsidRDefault="000F0BC6" w:rsidP="00913C3A">
            <w:pPr>
              <w:spacing w:line="240" w:lineRule="auto"/>
              <w:jc w:val="center"/>
              <w:rPr>
                <w:rFonts w:ascii="Times New Roman" w:hAnsi="Times New Roman" w:cs="Times New Roman"/>
                <w:sz w:val="28"/>
              </w:rPr>
            </w:pPr>
            <w:r w:rsidRPr="008B7A9C">
              <w:rPr>
                <w:rFonts w:ascii="Times New Roman" w:hAnsi="Times New Roman" w:cs="Times New Roman"/>
                <w:sz w:val="28"/>
              </w:rPr>
              <w:t>0 h</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vAlign w:val="center"/>
            <w:hideMark/>
          </w:tcPr>
          <w:p w:rsidR="000F0BC6" w:rsidRPr="008B7A9C" w:rsidRDefault="000F0BC6" w:rsidP="00913C3A">
            <w:pPr>
              <w:spacing w:line="240" w:lineRule="auto"/>
              <w:jc w:val="center"/>
              <w:rPr>
                <w:rFonts w:ascii="Times New Roman" w:hAnsi="Times New Roman" w:cs="Times New Roman"/>
                <w:sz w:val="28"/>
              </w:rPr>
            </w:pPr>
            <w:r w:rsidRPr="008B7A9C">
              <w:rPr>
                <w:rFonts w:ascii="Times New Roman" w:hAnsi="Times New Roman" w:cs="Times New Roman"/>
                <w:sz w:val="28"/>
              </w:rPr>
              <w:t>0.5 h</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vAlign w:val="center"/>
            <w:hideMark/>
          </w:tcPr>
          <w:p w:rsidR="000F0BC6" w:rsidRPr="008B7A9C" w:rsidRDefault="000F0BC6" w:rsidP="00913C3A">
            <w:pPr>
              <w:spacing w:line="240" w:lineRule="auto"/>
              <w:jc w:val="center"/>
              <w:rPr>
                <w:rFonts w:ascii="Times New Roman" w:hAnsi="Times New Roman" w:cs="Times New Roman"/>
                <w:sz w:val="28"/>
              </w:rPr>
            </w:pPr>
            <w:r w:rsidRPr="008B7A9C">
              <w:rPr>
                <w:rFonts w:ascii="Times New Roman" w:hAnsi="Times New Roman" w:cs="Times New Roman"/>
                <w:sz w:val="28"/>
              </w:rPr>
              <w:t>1 h</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vAlign w:val="center"/>
            <w:hideMark/>
          </w:tcPr>
          <w:p w:rsidR="000F0BC6" w:rsidRPr="008B7A9C" w:rsidRDefault="000F0BC6" w:rsidP="00913C3A">
            <w:pPr>
              <w:spacing w:line="240" w:lineRule="auto"/>
              <w:jc w:val="center"/>
              <w:rPr>
                <w:rFonts w:ascii="Times New Roman" w:hAnsi="Times New Roman" w:cs="Times New Roman"/>
                <w:sz w:val="28"/>
              </w:rPr>
            </w:pPr>
            <w:r w:rsidRPr="008B7A9C">
              <w:rPr>
                <w:rFonts w:ascii="Times New Roman" w:hAnsi="Times New Roman" w:cs="Times New Roman"/>
                <w:sz w:val="28"/>
              </w:rPr>
              <w:t>2 h</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vAlign w:val="center"/>
            <w:hideMark/>
          </w:tcPr>
          <w:p w:rsidR="000F0BC6" w:rsidRPr="008B7A9C" w:rsidRDefault="000F0BC6" w:rsidP="00913C3A">
            <w:pPr>
              <w:spacing w:line="240" w:lineRule="auto"/>
              <w:jc w:val="center"/>
              <w:rPr>
                <w:rFonts w:ascii="Times New Roman" w:hAnsi="Times New Roman" w:cs="Times New Roman"/>
                <w:sz w:val="28"/>
              </w:rPr>
            </w:pPr>
            <w:r w:rsidRPr="008B7A9C">
              <w:rPr>
                <w:rFonts w:ascii="Times New Roman" w:hAnsi="Times New Roman" w:cs="Times New Roman"/>
                <w:sz w:val="28"/>
              </w:rPr>
              <w:t>4 h</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vAlign w:val="center"/>
            <w:hideMark/>
          </w:tcPr>
          <w:p w:rsidR="000F0BC6" w:rsidRPr="008B7A9C" w:rsidRDefault="000F0BC6" w:rsidP="00913C3A">
            <w:pPr>
              <w:spacing w:line="240" w:lineRule="auto"/>
              <w:jc w:val="center"/>
              <w:rPr>
                <w:rFonts w:ascii="Times New Roman" w:hAnsi="Times New Roman" w:cs="Times New Roman"/>
                <w:sz w:val="28"/>
              </w:rPr>
            </w:pPr>
            <w:r w:rsidRPr="008B7A9C">
              <w:rPr>
                <w:rFonts w:ascii="Times New Roman" w:hAnsi="Times New Roman" w:cs="Times New Roman"/>
                <w:sz w:val="28"/>
              </w:rPr>
              <w:t>24 h</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vAlign w:val="center"/>
            <w:hideMark/>
          </w:tcPr>
          <w:p w:rsidR="000F0BC6" w:rsidRPr="008B7A9C" w:rsidRDefault="000F0BC6" w:rsidP="00913C3A">
            <w:pPr>
              <w:spacing w:line="240" w:lineRule="auto"/>
              <w:jc w:val="center"/>
              <w:rPr>
                <w:rFonts w:ascii="Times New Roman" w:hAnsi="Times New Roman" w:cs="Times New Roman"/>
                <w:sz w:val="28"/>
              </w:rPr>
            </w:pPr>
            <w:r w:rsidRPr="008B7A9C">
              <w:rPr>
                <w:rFonts w:ascii="Times New Roman" w:hAnsi="Times New Roman" w:cs="Times New Roman"/>
                <w:sz w:val="28"/>
              </w:rPr>
              <w:t>14</w:t>
            </w:r>
            <w:r w:rsidRPr="008B7A9C">
              <w:rPr>
                <w:rFonts w:ascii="Times New Roman" w:hAnsi="Times New Roman" w:cs="Times New Roman"/>
                <w:sz w:val="28"/>
                <w:vertAlign w:val="superscript"/>
              </w:rPr>
              <w:t>th</w:t>
            </w:r>
            <w:r w:rsidRPr="008B7A9C">
              <w:rPr>
                <w:rFonts w:ascii="Times New Roman" w:hAnsi="Times New Roman" w:cs="Times New Roman"/>
                <w:sz w:val="28"/>
              </w:rPr>
              <w:t xml:space="preserve">  day</w:t>
            </w:r>
          </w:p>
        </w:tc>
      </w:tr>
      <w:tr w:rsidR="000F0BC6" w:rsidRPr="008B7A9C" w:rsidTr="00913C3A">
        <w:trPr>
          <w:trHeight w:val="320"/>
        </w:trPr>
        <w:tc>
          <w:tcPr>
            <w:tcW w:w="2610" w:type="dxa"/>
            <w:vMerge/>
            <w:tcBorders>
              <w:top w:val="single" w:sz="8" w:space="0" w:color="000000"/>
              <w:left w:val="single" w:sz="8" w:space="0" w:color="000000"/>
              <w:bottom w:val="single" w:sz="8" w:space="0" w:color="000000"/>
              <w:right w:val="single" w:sz="8" w:space="0" w:color="000000"/>
            </w:tcBorders>
            <w:vAlign w:val="center"/>
            <w:hideMark/>
          </w:tcPr>
          <w:p w:rsidR="000F0BC6" w:rsidRPr="008B7A9C" w:rsidRDefault="000F0BC6" w:rsidP="00913C3A">
            <w:pPr>
              <w:rPr>
                <w:rFonts w:ascii="Times New Roman" w:hAnsi="Times New Roman" w:cs="Times New Roman"/>
                <w:sz w:val="28"/>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spacing w:line="240" w:lineRule="auto"/>
              <w:rPr>
                <w:rFonts w:ascii="Times New Roman" w:hAnsi="Times New Roman" w:cs="Times New Roman"/>
                <w:sz w:val="28"/>
              </w:rPr>
            </w:pPr>
            <w:r w:rsidRPr="008B7A9C">
              <w:rPr>
                <w:rFonts w:ascii="Times New Roman" w:hAnsi="Times New Roman" w:cs="Times New Roman"/>
                <w:sz w:val="28"/>
              </w:rPr>
              <w:t xml:space="preserve">D1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spacing w:line="240" w:lineRule="auto"/>
              <w:rPr>
                <w:rFonts w:ascii="Times New Roman" w:hAnsi="Times New Roman" w:cs="Times New Roman"/>
                <w:sz w:val="28"/>
              </w:rPr>
            </w:pPr>
            <w:r w:rsidRPr="008B7A9C">
              <w:rPr>
                <w:rFonts w:ascii="Times New Roman" w:hAnsi="Times New Roman" w:cs="Times New Roman"/>
                <w:sz w:val="28"/>
              </w:rPr>
              <w:t xml:space="preserve">D2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spacing w:line="240" w:lineRule="auto"/>
              <w:rPr>
                <w:rFonts w:ascii="Times New Roman" w:hAnsi="Times New Roman" w:cs="Times New Roman"/>
                <w:sz w:val="28"/>
              </w:rPr>
            </w:pPr>
            <w:r w:rsidRPr="008B7A9C">
              <w:rPr>
                <w:rFonts w:ascii="Times New Roman" w:hAnsi="Times New Roman" w:cs="Times New Roman"/>
                <w:sz w:val="28"/>
              </w:rPr>
              <w:t xml:space="preserve">D1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spacing w:line="240" w:lineRule="auto"/>
              <w:rPr>
                <w:rFonts w:ascii="Times New Roman" w:hAnsi="Times New Roman" w:cs="Times New Roman"/>
                <w:sz w:val="28"/>
              </w:rPr>
            </w:pPr>
            <w:r w:rsidRPr="008B7A9C">
              <w:rPr>
                <w:rFonts w:ascii="Times New Roman" w:hAnsi="Times New Roman" w:cs="Times New Roman"/>
                <w:sz w:val="28"/>
              </w:rPr>
              <w:t xml:space="preserve">D2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spacing w:line="240" w:lineRule="auto"/>
              <w:rPr>
                <w:rFonts w:ascii="Times New Roman" w:hAnsi="Times New Roman" w:cs="Times New Roman"/>
                <w:sz w:val="28"/>
              </w:rPr>
            </w:pPr>
            <w:r w:rsidRPr="008B7A9C">
              <w:rPr>
                <w:rFonts w:ascii="Times New Roman" w:hAnsi="Times New Roman" w:cs="Times New Roman"/>
                <w:sz w:val="28"/>
              </w:rPr>
              <w:t xml:space="preserve">D1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spacing w:line="240" w:lineRule="auto"/>
              <w:rPr>
                <w:rFonts w:ascii="Times New Roman" w:hAnsi="Times New Roman" w:cs="Times New Roman"/>
                <w:sz w:val="28"/>
              </w:rPr>
            </w:pPr>
            <w:r w:rsidRPr="008B7A9C">
              <w:rPr>
                <w:rFonts w:ascii="Times New Roman" w:hAnsi="Times New Roman" w:cs="Times New Roman"/>
                <w:sz w:val="28"/>
              </w:rPr>
              <w:t xml:space="preserve">D2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spacing w:line="240" w:lineRule="auto"/>
              <w:rPr>
                <w:rFonts w:ascii="Times New Roman" w:hAnsi="Times New Roman" w:cs="Times New Roman"/>
                <w:sz w:val="28"/>
              </w:rPr>
            </w:pPr>
            <w:r w:rsidRPr="008B7A9C">
              <w:rPr>
                <w:rFonts w:ascii="Times New Roman" w:hAnsi="Times New Roman" w:cs="Times New Roman"/>
                <w:sz w:val="28"/>
              </w:rPr>
              <w:t xml:space="preserve">D1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spacing w:line="240" w:lineRule="auto"/>
              <w:rPr>
                <w:rFonts w:ascii="Times New Roman" w:hAnsi="Times New Roman" w:cs="Times New Roman"/>
                <w:sz w:val="28"/>
              </w:rPr>
            </w:pPr>
            <w:r w:rsidRPr="008B7A9C">
              <w:rPr>
                <w:rFonts w:ascii="Times New Roman" w:hAnsi="Times New Roman" w:cs="Times New Roman"/>
                <w:sz w:val="28"/>
              </w:rPr>
              <w:t xml:space="preserve">D2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spacing w:line="240" w:lineRule="auto"/>
              <w:rPr>
                <w:rFonts w:ascii="Times New Roman" w:hAnsi="Times New Roman" w:cs="Times New Roman"/>
                <w:sz w:val="28"/>
              </w:rPr>
            </w:pPr>
            <w:r w:rsidRPr="008B7A9C">
              <w:rPr>
                <w:rFonts w:ascii="Times New Roman" w:hAnsi="Times New Roman" w:cs="Times New Roman"/>
                <w:sz w:val="28"/>
              </w:rPr>
              <w:t xml:space="preserve">D1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spacing w:line="240" w:lineRule="auto"/>
              <w:rPr>
                <w:rFonts w:ascii="Times New Roman" w:hAnsi="Times New Roman" w:cs="Times New Roman"/>
                <w:sz w:val="28"/>
              </w:rPr>
            </w:pPr>
            <w:r w:rsidRPr="008B7A9C">
              <w:rPr>
                <w:rFonts w:ascii="Times New Roman" w:hAnsi="Times New Roman" w:cs="Times New Roman"/>
                <w:sz w:val="28"/>
              </w:rPr>
              <w:t xml:space="preserve">D2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spacing w:line="240" w:lineRule="auto"/>
              <w:rPr>
                <w:rFonts w:ascii="Times New Roman" w:hAnsi="Times New Roman" w:cs="Times New Roman"/>
                <w:sz w:val="28"/>
              </w:rPr>
            </w:pPr>
            <w:r w:rsidRPr="008B7A9C">
              <w:rPr>
                <w:rFonts w:ascii="Times New Roman" w:hAnsi="Times New Roman" w:cs="Times New Roman"/>
                <w:sz w:val="28"/>
              </w:rPr>
              <w:t xml:space="preserve">D1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spacing w:line="240" w:lineRule="auto"/>
              <w:rPr>
                <w:rFonts w:ascii="Times New Roman" w:hAnsi="Times New Roman" w:cs="Times New Roman"/>
                <w:sz w:val="28"/>
              </w:rPr>
            </w:pPr>
            <w:r w:rsidRPr="008B7A9C">
              <w:rPr>
                <w:rFonts w:ascii="Times New Roman" w:hAnsi="Times New Roman" w:cs="Times New Roman"/>
                <w:sz w:val="28"/>
              </w:rPr>
              <w:t xml:space="preserve">D2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spacing w:line="240" w:lineRule="auto"/>
              <w:rPr>
                <w:rFonts w:ascii="Times New Roman" w:hAnsi="Times New Roman" w:cs="Times New Roman"/>
                <w:sz w:val="28"/>
              </w:rPr>
            </w:pPr>
            <w:r w:rsidRPr="008B7A9C">
              <w:rPr>
                <w:rFonts w:ascii="Times New Roman" w:hAnsi="Times New Roman" w:cs="Times New Roman"/>
                <w:sz w:val="28"/>
              </w:rPr>
              <w:t xml:space="preserve">D1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spacing w:line="240" w:lineRule="auto"/>
              <w:rPr>
                <w:rFonts w:ascii="Times New Roman" w:hAnsi="Times New Roman" w:cs="Times New Roman"/>
                <w:sz w:val="28"/>
              </w:rPr>
            </w:pPr>
            <w:r w:rsidRPr="008B7A9C">
              <w:rPr>
                <w:rFonts w:ascii="Times New Roman" w:hAnsi="Times New Roman" w:cs="Times New Roman"/>
                <w:sz w:val="28"/>
              </w:rPr>
              <w:t xml:space="preserve">D2 </w:t>
            </w:r>
          </w:p>
        </w:tc>
      </w:tr>
      <w:tr w:rsidR="000F0BC6" w:rsidRPr="008B7A9C" w:rsidTr="00913C3A">
        <w:trPr>
          <w:trHeight w:val="320"/>
        </w:trPr>
        <w:tc>
          <w:tcPr>
            <w:tcW w:w="261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b/>
                <w:bCs/>
                <w:sz w:val="28"/>
              </w:rPr>
              <w:t xml:space="preserve">Skin &amp; fur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r>
      <w:tr w:rsidR="000F0BC6" w:rsidRPr="008B7A9C" w:rsidTr="00913C3A">
        <w:trPr>
          <w:trHeight w:val="320"/>
        </w:trPr>
        <w:tc>
          <w:tcPr>
            <w:tcW w:w="261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b/>
                <w:bCs/>
                <w:sz w:val="28"/>
              </w:rPr>
              <w:t>Mucous membrane</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r>
      <w:tr w:rsidR="000F0BC6" w:rsidRPr="008B7A9C" w:rsidTr="00913C3A">
        <w:trPr>
          <w:trHeight w:val="320"/>
        </w:trPr>
        <w:tc>
          <w:tcPr>
            <w:tcW w:w="261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b/>
                <w:bCs/>
                <w:sz w:val="28"/>
              </w:rPr>
              <w:t xml:space="preserve">Tremors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r>
      <w:tr w:rsidR="000F0BC6" w:rsidRPr="008B7A9C" w:rsidTr="00913C3A">
        <w:trPr>
          <w:trHeight w:val="320"/>
        </w:trPr>
        <w:tc>
          <w:tcPr>
            <w:tcW w:w="261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b/>
                <w:bCs/>
                <w:sz w:val="28"/>
              </w:rPr>
              <w:t xml:space="preserve">Convulsion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r>
      <w:tr w:rsidR="000F0BC6" w:rsidRPr="008B7A9C" w:rsidTr="00913C3A">
        <w:trPr>
          <w:trHeight w:val="320"/>
        </w:trPr>
        <w:tc>
          <w:tcPr>
            <w:tcW w:w="261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b/>
                <w:bCs/>
                <w:sz w:val="28"/>
              </w:rPr>
              <w:t xml:space="preserve">Salivation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r>
      <w:tr w:rsidR="000F0BC6" w:rsidRPr="008B7A9C" w:rsidTr="00913C3A">
        <w:trPr>
          <w:trHeight w:val="320"/>
        </w:trPr>
        <w:tc>
          <w:tcPr>
            <w:tcW w:w="261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b/>
                <w:bCs/>
                <w:sz w:val="28"/>
              </w:rPr>
              <w:t xml:space="preserve">Diarrhea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r>
      <w:tr w:rsidR="000F0BC6" w:rsidRPr="008B7A9C" w:rsidTr="00913C3A">
        <w:trPr>
          <w:trHeight w:val="320"/>
        </w:trPr>
        <w:tc>
          <w:tcPr>
            <w:tcW w:w="261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b/>
                <w:bCs/>
                <w:sz w:val="28"/>
              </w:rPr>
              <w:t xml:space="preserve">Sleep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Y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Y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Y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r>
      <w:tr w:rsidR="000F0BC6" w:rsidRPr="008B7A9C" w:rsidTr="00913C3A">
        <w:trPr>
          <w:trHeight w:val="320"/>
        </w:trPr>
        <w:tc>
          <w:tcPr>
            <w:tcW w:w="261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b/>
                <w:bCs/>
                <w:sz w:val="28"/>
              </w:rPr>
              <w:t xml:space="preserve">Coma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r>
      <w:tr w:rsidR="000F0BC6" w:rsidRPr="008B7A9C" w:rsidTr="00913C3A">
        <w:trPr>
          <w:trHeight w:val="320"/>
        </w:trPr>
        <w:tc>
          <w:tcPr>
            <w:tcW w:w="261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b/>
                <w:bCs/>
                <w:sz w:val="28"/>
              </w:rPr>
              <w:t xml:space="preserve">Lethargy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r>
      <w:tr w:rsidR="000F0BC6" w:rsidRPr="008B7A9C" w:rsidTr="00913C3A">
        <w:trPr>
          <w:trHeight w:val="320"/>
        </w:trPr>
        <w:tc>
          <w:tcPr>
            <w:tcW w:w="261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b/>
                <w:bCs/>
                <w:sz w:val="28"/>
              </w:rPr>
              <w:t xml:space="preserve">Mortality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17" w:type="dxa"/>
              <w:left w:w="86" w:type="dxa"/>
              <w:bottom w:w="0" w:type="dxa"/>
              <w:right w:w="86" w:type="dxa"/>
            </w:tcMar>
            <w:hideMark/>
          </w:tcPr>
          <w:p w:rsidR="000F0BC6" w:rsidRPr="008B7A9C" w:rsidRDefault="000F0BC6" w:rsidP="00913C3A">
            <w:pPr>
              <w:rPr>
                <w:rFonts w:ascii="Times New Roman" w:hAnsi="Times New Roman" w:cs="Times New Roman"/>
                <w:sz w:val="28"/>
              </w:rPr>
            </w:pPr>
            <w:r w:rsidRPr="008B7A9C">
              <w:rPr>
                <w:rFonts w:ascii="Times New Roman" w:hAnsi="Times New Roman" w:cs="Times New Roman"/>
                <w:sz w:val="28"/>
              </w:rPr>
              <w:t xml:space="preserve">N </w:t>
            </w:r>
          </w:p>
        </w:tc>
      </w:tr>
    </w:tbl>
    <w:p w:rsidR="000F0BC6" w:rsidRDefault="000F0BC6" w:rsidP="000F0BC6">
      <w:pPr>
        <w:rPr>
          <w:rFonts w:ascii="Times New Roman" w:hAnsi="Times New Roman" w:cs="Times New Roman"/>
          <w:sz w:val="28"/>
        </w:rPr>
      </w:pPr>
    </w:p>
    <w:p w:rsidR="000F0BC6" w:rsidRPr="00F04543" w:rsidRDefault="000F0BC6" w:rsidP="000F0BC6">
      <w:pPr>
        <w:rPr>
          <w:rFonts w:ascii="Times New Roman" w:hAnsi="Times New Roman" w:cs="Times New Roman"/>
          <w:b/>
          <w:bCs/>
          <w:sz w:val="28"/>
        </w:rPr>
      </w:pPr>
      <w:r w:rsidRPr="00F04543">
        <w:rPr>
          <w:rFonts w:ascii="Times New Roman" w:hAnsi="Times New Roman" w:cs="Times New Roman"/>
          <w:b/>
          <w:bCs/>
          <w:sz w:val="28"/>
        </w:rPr>
        <w:t>References</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Pr>
          <w:rFonts w:ascii="Times New Roman" w:hAnsi="Times New Roman" w:cs="Times New Roman"/>
          <w:sz w:val="28"/>
        </w:rPr>
        <w:fldChar w:fldCharType="begin" w:fldLock="1"/>
      </w:r>
      <w:r>
        <w:rPr>
          <w:rFonts w:ascii="Times New Roman" w:hAnsi="Times New Roman" w:cs="Times New Roman"/>
          <w:sz w:val="28"/>
        </w:rPr>
        <w:instrText xml:space="preserve">ADDIN Mendeley Bibliography CSL_BIBLIOGRAPHY </w:instrText>
      </w:r>
      <w:r>
        <w:rPr>
          <w:rFonts w:ascii="Times New Roman" w:hAnsi="Times New Roman" w:cs="Times New Roman"/>
          <w:sz w:val="28"/>
        </w:rPr>
        <w:fldChar w:fldCharType="separate"/>
      </w:r>
      <w:r w:rsidRPr="00311558">
        <w:rPr>
          <w:rFonts w:ascii="Times New Roman" w:hAnsi="Times New Roman" w:cs="Times New Roman"/>
          <w:noProof/>
          <w:sz w:val="28"/>
          <w:szCs w:val="24"/>
        </w:rPr>
        <w:t xml:space="preserve">1. </w:t>
      </w:r>
      <w:r w:rsidRPr="00311558">
        <w:rPr>
          <w:rFonts w:ascii="Times New Roman" w:hAnsi="Times New Roman" w:cs="Times New Roman"/>
          <w:noProof/>
          <w:sz w:val="28"/>
          <w:szCs w:val="24"/>
        </w:rPr>
        <w:tab/>
        <w:t xml:space="preserve">Lam F, Ervik M, Ferlay J, Soerjomataram I, Mery L, B. F. (2018). World Source: Globocan 2018, </w:t>
      </w:r>
      <w:r w:rsidRPr="00311558">
        <w:rPr>
          <w:rFonts w:ascii="Times New Roman" w:hAnsi="Times New Roman" w:cs="Times New Roman"/>
          <w:i/>
          <w:iCs/>
          <w:noProof/>
          <w:sz w:val="28"/>
          <w:szCs w:val="24"/>
        </w:rPr>
        <w:t>876</w:t>
      </w:r>
      <w:r w:rsidRPr="00311558">
        <w:rPr>
          <w:rFonts w:ascii="Times New Roman" w:hAnsi="Times New Roman" w:cs="Times New Roman"/>
          <w:noProof/>
          <w:sz w:val="28"/>
          <w:szCs w:val="24"/>
        </w:rPr>
        <w:t>, 1–2. Retrieved from http://gco.iarc.fr/today/data/factsheets/populations/900-world-fact-sheets.pdf</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2. </w:t>
      </w:r>
      <w:r w:rsidRPr="00311558">
        <w:rPr>
          <w:rFonts w:ascii="Times New Roman" w:hAnsi="Times New Roman" w:cs="Times New Roman"/>
          <w:noProof/>
          <w:sz w:val="28"/>
          <w:szCs w:val="24"/>
        </w:rPr>
        <w:tab/>
        <w:t xml:space="preserve">Arya, R. K., Singh, A., Yadav, N. K., Cheruvu, S. H., Hossain, Z., Meena, S., … Datta, D. (2015). Anti-breast tumor activity of Eclipta extract in-vitro and in-vivo: novel evidence of endoplasmic reticulum specific localization of Hsp60 during apoptosis. </w:t>
      </w:r>
      <w:r w:rsidRPr="00311558">
        <w:rPr>
          <w:rFonts w:ascii="Times New Roman" w:hAnsi="Times New Roman" w:cs="Times New Roman"/>
          <w:i/>
          <w:iCs/>
          <w:noProof/>
          <w:sz w:val="28"/>
          <w:szCs w:val="24"/>
        </w:rPr>
        <w:t>Scientific Reports</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5</w:t>
      </w:r>
      <w:r w:rsidRPr="00311558">
        <w:rPr>
          <w:rFonts w:ascii="Times New Roman" w:hAnsi="Times New Roman" w:cs="Times New Roman"/>
          <w:noProof/>
          <w:sz w:val="28"/>
          <w:szCs w:val="24"/>
        </w:rPr>
        <w:t>, 18457. doi:10.1038/srep18457</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3. </w:t>
      </w:r>
      <w:r w:rsidRPr="00311558">
        <w:rPr>
          <w:rFonts w:ascii="Times New Roman" w:hAnsi="Times New Roman" w:cs="Times New Roman"/>
          <w:noProof/>
          <w:sz w:val="28"/>
          <w:szCs w:val="24"/>
        </w:rPr>
        <w:tab/>
        <w:t xml:space="preserve">Vijayalakshmi, T., Muthulakshmi, V., &amp; Sachdanandam, P. (1997). Effect of milk extract of Semecarpus anacardium nuts on glycohydrolases and lysosomal stability in adjuvant arthritis in rats. </w:t>
      </w:r>
      <w:r w:rsidRPr="00311558">
        <w:rPr>
          <w:rFonts w:ascii="Times New Roman" w:hAnsi="Times New Roman" w:cs="Times New Roman"/>
          <w:i/>
          <w:iCs/>
          <w:noProof/>
          <w:sz w:val="28"/>
          <w:szCs w:val="24"/>
        </w:rPr>
        <w:t xml:space="preserve">Journal of </w:t>
      </w:r>
      <w:r w:rsidRPr="00311558">
        <w:rPr>
          <w:rFonts w:ascii="Times New Roman" w:hAnsi="Times New Roman" w:cs="Times New Roman"/>
          <w:i/>
          <w:iCs/>
          <w:noProof/>
          <w:sz w:val="28"/>
          <w:szCs w:val="24"/>
        </w:rPr>
        <w:lastRenderedPageBreak/>
        <w:t>ethnopharmacology</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58</w:t>
      </w:r>
      <w:r w:rsidRPr="00311558">
        <w:rPr>
          <w:rFonts w:ascii="Times New Roman" w:hAnsi="Times New Roman" w:cs="Times New Roman"/>
          <w:noProof/>
          <w:sz w:val="28"/>
          <w:szCs w:val="24"/>
        </w:rPr>
        <w:t>(1), 1–8.</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4. </w:t>
      </w:r>
      <w:r w:rsidRPr="00311558">
        <w:rPr>
          <w:rFonts w:ascii="Times New Roman" w:hAnsi="Times New Roman" w:cs="Times New Roman"/>
          <w:noProof/>
          <w:sz w:val="28"/>
          <w:szCs w:val="24"/>
        </w:rPr>
        <w:tab/>
        <w:t xml:space="preserve">Vijayalakshmi, T., Muthulakshmi, V., &amp; Sachdanandam, P. (2000). Toxic studies on biochemical parameters carried out in rats with Serankottai nei, a siddha drug-milk extract of Semecarpus anacardium nut. </w:t>
      </w:r>
      <w:r w:rsidRPr="00311558">
        <w:rPr>
          <w:rFonts w:ascii="Times New Roman" w:hAnsi="Times New Roman" w:cs="Times New Roman"/>
          <w:i/>
          <w:iCs/>
          <w:noProof/>
          <w:sz w:val="28"/>
          <w:szCs w:val="24"/>
        </w:rPr>
        <w:t>Journal of ethnopharmacology</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69</w:t>
      </w:r>
      <w:r w:rsidRPr="00311558">
        <w:rPr>
          <w:rFonts w:ascii="Times New Roman" w:hAnsi="Times New Roman" w:cs="Times New Roman"/>
          <w:noProof/>
          <w:sz w:val="28"/>
          <w:szCs w:val="24"/>
        </w:rPr>
        <w:t>(1), 9–15.</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5. </w:t>
      </w:r>
      <w:r w:rsidRPr="00311558">
        <w:rPr>
          <w:rFonts w:ascii="Times New Roman" w:hAnsi="Times New Roman" w:cs="Times New Roman"/>
          <w:noProof/>
          <w:sz w:val="28"/>
          <w:szCs w:val="24"/>
        </w:rPr>
        <w:tab/>
        <w:t xml:space="preserve">Kim, J. H., Kismali, G., &amp; Gupta, S. C. (2018). Natural Products for the Prevention and Treatment of Chronic Inflammatory Diseases: Integrating Traditional Medicine into Modern Chronic Diseases Care. </w:t>
      </w:r>
      <w:r w:rsidRPr="00311558">
        <w:rPr>
          <w:rFonts w:ascii="Times New Roman" w:hAnsi="Times New Roman" w:cs="Times New Roman"/>
          <w:i/>
          <w:iCs/>
          <w:noProof/>
          <w:sz w:val="28"/>
          <w:szCs w:val="24"/>
        </w:rPr>
        <w:t>Evidence-based complementary and alternative medicine : eCAM</w:t>
      </w:r>
      <w:r w:rsidRPr="00311558">
        <w:rPr>
          <w:rFonts w:ascii="Times New Roman" w:hAnsi="Times New Roman" w:cs="Times New Roman"/>
          <w:noProof/>
          <w:sz w:val="28"/>
          <w:szCs w:val="24"/>
        </w:rPr>
        <w:t>. United States. doi:10.1155/2018/9837863</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6. </w:t>
      </w:r>
      <w:r w:rsidRPr="00311558">
        <w:rPr>
          <w:rFonts w:ascii="Times New Roman" w:hAnsi="Times New Roman" w:cs="Times New Roman"/>
          <w:noProof/>
          <w:sz w:val="28"/>
          <w:szCs w:val="24"/>
        </w:rPr>
        <w:tab/>
        <w:t xml:space="preserve">Joshi, K., Ghodke, Y., &amp; Shintre, P. (2010). Traditional medicine and genomics. </w:t>
      </w:r>
      <w:r w:rsidRPr="00311558">
        <w:rPr>
          <w:rFonts w:ascii="Times New Roman" w:hAnsi="Times New Roman" w:cs="Times New Roman"/>
          <w:i/>
          <w:iCs/>
          <w:noProof/>
          <w:sz w:val="28"/>
          <w:szCs w:val="24"/>
        </w:rPr>
        <w:t>Journal of Ayurveda and integrative medicine</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1</w:t>
      </w:r>
      <w:r w:rsidRPr="00311558">
        <w:rPr>
          <w:rFonts w:ascii="Times New Roman" w:hAnsi="Times New Roman" w:cs="Times New Roman"/>
          <w:noProof/>
          <w:sz w:val="28"/>
          <w:szCs w:val="24"/>
        </w:rPr>
        <w:t>(1), 26–32. doi:10.4103/0975-9476.59824</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7. </w:t>
      </w:r>
      <w:r w:rsidRPr="00311558">
        <w:rPr>
          <w:rFonts w:ascii="Times New Roman" w:hAnsi="Times New Roman" w:cs="Times New Roman"/>
          <w:noProof/>
          <w:sz w:val="28"/>
          <w:szCs w:val="24"/>
        </w:rPr>
        <w:tab/>
        <w:t xml:space="preserve">Patwardhan, B., &amp; Vaidya, A. D. B. (2010). Natural products drug discovery: accelerating the clinical candidate development  using reverse pharmacology approaches. </w:t>
      </w:r>
      <w:r w:rsidRPr="00311558">
        <w:rPr>
          <w:rFonts w:ascii="Times New Roman" w:hAnsi="Times New Roman" w:cs="Times New Roman"/>
          <w:i/>
          <w:iCs/>
          <w:noProof/>
          <w:sz w:val="28"/>
          <w:szCs w:val="24"/>
        </w:rPr>
        <w:t>Indian journal of experimental biology</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48</w:t>
      </w:r>
      <w:r w:rsidRPr="00311558">
        <w:rPr>
          <w:rFonts w:ascii="Times New Roman" w:hAnsi="Times New Roman" w:cs="Times New Roman"/>
          <w:noProof/>
          <w:sz w:val="28"/>
          <w:szCs w:val="24"/>
        </w:rPr>
        <w:t>(3), 220–227.</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8. </w:t>
      </w:r>
      <w:r w:rsidRPr="00311558">
        <w:rPr>
          <w:rFonts w:ascii="Times New Roman" w:hAnsi="Times New Roman" w:cs="Times New Roman"/>
          <w:noProof/>
          <w:sz w:val="28"/>
          <w:szCs w:val="24"/>
        </w:rPr>
        <w:tab/>
        <w:t xml:space="preserve">Awasthee, N., Rai, V., Verma, S. S., Francis, K. S., Nair, M. S., &amp; Gupta, S. C. (2018). Anti-cancer activities of Bharangin against breast cancer: Evidence for the role of NF-κB and lncRNAs. </w:t>
      </w:r>
      <w:r w:rsidRPr="00311558">
        <w:rPr>
          <w:rFonts w:ascii="Times New Roman" w:hAnsi="Times New Roman" w:cs="Times New Roman"/>
          <w:i/>
          <w:iCs/>
          <w:noProof/>
          <w:sz w:val="28"/>
          <w:szCs w:val="24"/>
        </w:rPr>
        <w:t>Biochimica et Biophysica Acta (BBA) - General Subjects</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1862</w:t>
      </w:r>
      <w:r w:rsidRPr="00311558">
        <w:rPr>
          <w:rFonts w:ascii="Times New Roman" w:hAnsi="Times New Roman" w:cs="Times New Roman"/>
          <w:noProof/>
          <w:sz w:val="28"/>
          <w:szCs w:val="24"/>
        </w:rPr>
        <w:t>(12), 2738–2749. doi:https://doi.org/10.1016/j.bbagen.2018.08.016</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9. </w:t>
      </w:r>
      <w:r w:rsidRPr="00311558">
        <w:rPr>
          <w:rFonts w:ascii="Times New Roman" w:hAnsi="Times New Roman" w:cs="Times New Roman"/>
          <w:noProof/>
          <w:sz w:val="28"/>
          <w:szCs w:val="24"/>
        </w:rPr>
        <w:tab/>
        <w:t xml:space="preserve">Gupta, S. C., Prasad, S., Tyagi, A. K., Kunnumakkara, A. B., &amp; Aggarwal, B. B. (2017). Neem (Azadirachta indica): An indian traditional panacea with modern molecular basis. </w:t>
      </w:r>
      <w:r w:rsidRPr="00311558">
        <w:rPr>
          <w:rFonts w:ascii="Times New Roman" w:hAnsi="Times New Roman" w:cs="Times New Roman"/>
          <w:i/>
          <w:iCs/>
          <w:noProof/>
          <w:sz w:val="28"/>
          <w:szCs w:val="24"/>
        </w:rPr>
        <w:t>Phytomedicine</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34</w:t>
      </w:r>
      <w:r w:rsidRPr="00311558">
        <w:rPr>
          <w:rFonts w:ascii="Times New Roman" w:hAnsi="Times New Roman" w:cs="Times New Roman"/>
          <w:noProof/>
          <w:sz w:val="28"/>
          <w:szCs w:val="24"/>
        </w:rPr>
        <w:t>, 14–20. doi:https://doi.org/10.1016/j.phymed.2017.07.001</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10. </w:t>
      </w:r>
      <w:r w:rsidRPr="00311558">
        <w:rPr>
          <w:rFonts w:ascii="Times New Roman" w:hAnsi="Times New Roman" w:cs="Times New Roman"/>
          <w:noProof/>
          <w:sz w:val="28"/>
          <w:szCs w:val="24"/>
        </w:rPr>
        <w:tab/>
        <w:t xml:space="preserve">Pandey, M. K., Gupta, S. C., Nabavizadeh, A., &amp; Aggarwal, B. B. (2017). Regulation of cell signaling pathways by dietary agents for cancer prevention and treatment. </w:t>
      </w:r>
      <w:r w:rsidRPr="00311558">
        <w:rPr>
          <w:rFonts w:ascii="Times New Roman" w:hAnsi="Times New Roman" w:cs="Times New Roman"/>
          <w:i/>
          <w:iCs/>
          <w:noProof/>
          <w:sz w:val="28"/>
          <w:szCs w:val="24"/>
        </w:rPr>
        <w:t>Seminars in cancer biology</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46</w:t>
      </w:r>
      <w:r w:rsidRPr="00311558">
        <w:rPr>
          <w:rFonts w:ascii="Times New Roman" w:hAnsi="Times New Roman" w:cs="Times New Roman"/>
          <w:noProof/>
          <w:sz w:val="28"/>
          <w:szCs w:val="24"/>
        </w:rPr>
        <w:t>, 158–181. doi:10.1016/j.semcancer.2017.07.002</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11. </w:t>
      </w:r>
      <w:r w:rsidRPr="00311558">
        <w:rPr>
          <w:rFonts w:ascii="Times New Roman" w:hAnsi="Times New Roman" w:cs="Times New Roman"/>
          <w:noProof/>
          <w:sz w:val="28"/>
          <w:szCs w:val="24"/>
        </w:rPr>
        <w:tab/>
        <w:t xml:space="preserve">Mathivadhani, P., Shanthi, P., &amp; Sachdanandam, P. (2007). Effect of Semecarpus anacardium Linn. nut extract on mammary and hepatic expression of xenobiotic enzymes in DMBA-induced mammary carcinoma. </w:t>
      </w:r>
      <w:r w:rsidRPr="00311558">
        <w:rPr>
          <w:rFonts w:ascii="Times New Roman" w:hAnsi="Times New Roman" w:cs="Times New Roman"/>
          <w:i/>
          <w:iCs/>
          <w:noProof/>
          <w:sz w:val="28"/>
          <w:szCs w:val="24"/>
        </w:rPr>
        <w:t>Environmental toxicology and pharmacology</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23</w:t>
      </w:r>
      <w:r w:rsidRPr="00311558">
        <w:rPr>
          <w:rFonts w:ascii="Times New Roman" w:hAnsi="Times New Roman" w:cs="Times New Roman"/>
          <w:noProof/>
          <w:sz w:val="28"/>
          <w:szCs w:val="24"/>
        </w:rPr>
        <w:t>(3), 328–334. doi:10.1016/j.etap.2006.12.004</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lastRenderedPageBreak/>
        <w:t xml:space="preserve">12. </w:t>
      </w:r>
      <w:r w:rsidRPr="00311558">
        <w:rPr>
          <w:rFonts w:ascii="Times New Roman" w:hAnsi="Times New Roman" w:cs="Times New Roman"/>
          <w:noProof/>
          <w:sz w:val="28"/>
          <w:szCs w:val="24"/>
        </w:rPr>
        <w:tab/>
        <w:t xml:space="preserve">Semalty, M., Semalty, A., Badola, A., Joshi, G. P., &amp; Rawat, M. S. M. (2010). Semecarpus anacardium Linn.: A review. </w:t>
      </w:r>
      <w:r w:rsidRPr="00311558">
        <w:rPr>
          <w:rFonts w:ascii="Times New Roman" w:hAnsi="Times New Roman" w:cs="Times New Roman"/>
          <w:i/>
          <w:iCs/>
          <w:noProof/>
          <w:sz w:val="28"/>
          <w:szCs w:val="24"/>
        </w:rPr>
        <w:t>Pharmacognosy Reviews</w:t>
      </w:r>
      <w:r w:rsidRPr="00311558">
        <w:rPr>
          <w:rFonts w:ascii="Times New Roman" w:hAnsi="Times New Roman" w:cs="Times New Roman"/>
          <w:noProof/>
          <w:sz w:val="28"/>
          <w:szCs w:val="24"/>
        </w:rPr>
        <w:t>. India. doi:10.4103/0973-7847.65328</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13. </w:t>
      </w:r>
      <w:r w:rsidRPr="00311558">
        <w:rPr>
          <w:rFonts w:ascii="Times New Roman" w:hAnsi="Times New Roman" w:cs="Times New Roman"/>
          <w:noProof/>
          <w:sz w:val="28"/>
          <w:szCs w:val="24"/>
        </w:rPr>
        <w:tab/>
        <w:t xml:space="preserve">Sharma, A., Mathur, R., &amp; Dixit, V. P. (1995). Hypocholesterolemic activity of nut shell extract of Semecarpus anacardium (Bhilawa) in cholesterol fed rabbits. </w:t>
      </w:r>
      <w:r w:rsidRPr="00311558">
        <w:rPr>
          <w:rFonts w:ascii="Times New Roman" w:hAnsi="Times New Roman" w:cs="Times New Roman"/>
          <w:i/>
          <w:iCs/>
          <w:noProof/>
          <w:sz w:val="28"/>
          <w:szCs w:val="24"/>
        </w:rPr>
        <w:t>Indian journal of experimental biology</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33</w:t>
      </w:r>
      <w:r w:rsidRPr="00311558">
        <w:rPr>
          <w:rFonts w:ascii="Times New Roman" w:hAnsi="Times New Roman" w:cs="Times New Roman"/>
          <w:noProof/>
          <w:sz w:val="28"/>
          <w:szCs w:val="24"/>
        </w:rPr>
        <w:t>(6), 444–448.</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14. </w:t>
      </w:r>
      <w:r w:rsidRPr="00311558">
        <w:rPr>
          <w:rFonts w:ascii="Times New Roman" w:hAnsi="Times New Roman" w:cs="Times New Roman"/>
          <w:noProof/>
          <w:sz w:val="28"/>
          <w:szCs w:val="24"/>
        </w:rPr>
        <w:tab/>
        <w:t xml:space="preserve">Selvam, C., Jachak, S. M., &amp; Bhutani, K. K. (2004). Cyclooxygenase inhibitory flavonoids from the stem bark of Semecarpus anacardium  Linn. </w:t>
      </w:r>
      <w:r w:rsidRPr="00311558">
        <w:rPr>
          <w:rFonts w:ascii="Times New Roman" w:hAnsi="Times New Roman" w:cs="Times New Roman"/>
          <w:i/>
          <w:iCs/>
          <w:noProof/>
          <w:sz w:val="28"/>
          <w:szCs w:val="24"/>
        </w:rPr>
        <w:t>Phytotherapy research : PTR</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18</w:t>
      </w:r>
      <w:r w:rsidRPr="00311558">
        <w:rPr>
          <w:rFonts w:ascii="Times New Roman" w:hAnsi="Times New Roman" w:cs="Times New Roman"/>
          <w:noProof/>
          <w:sz w:val="28"/>
          <w:szCs w:val="24"/>
        </w:rPr>
        <w:t>(7), 582–584. doi:10.1002/ptr.1492</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15. </w:t>
      </w:r>
      <w:r w:rsidRPr="00311558">
        <w:rPr>
          <w:rFonts w:ascii="Times New Roman" w:hAnsi="Times New Roman" w:cs="Times New Roman"/>
          <w:noProof/>
          <w:sz w:val="28"/>
          <w:szCs w:val="24"/>
        </w:rPr>
        <w:tab/>
        <w:t xml:space="preserve">Nair, P. K. R., Melnick, S. J., Wnuk, S. F., Rapp, M., Escalon, E., &amp; Ramachandran, C. (2009). Isolation and characterization of an anticancer catechol compound from Semecarpus anacardium. </w:t>
      </w:r>
      <w:r w:rsidRPr="00311558">
        <w:rPr>
          <w:rFonts w:ascii="Times New Roman" w:hAnsi="Times New Roman" w:cs="Times New Roman"/>
          <w:i/>
          <w:iCs/>
          <w:noProof/>
          <w:sz w:val="28"/>
          <w:szCs w:val="24"/>
        </w:rPr>
        <w:t>Journal of ethnopharmacology</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122</w:t>
      </w:r>
      <w:r w:rsidRPr="00311558">
        <w:rPr>
          <w:rFonts w:ascii="Times New Roman" w:hAnsi="Times New Roman" w:cs="Times New Roman"/>
          <w:noProof/>
          <w:sz w:val="28"/>
          <w:szCs w:val="24"/>
        </w:rPr>
        <w:t>(3), 450–456. doi:10.1016/j.jep.2009.02.001</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16. </w:t>
      </w:r>
      <w:r w:rsidRPr="00311558">
        <w:rPr>
          <w:rFonts w:ascii="Times New Roman" w:hAnsi="Times New Roman" w:cs="Times New Roman"/>
          <w:noProof/>
          <w:sz w:val="28"/>
          <w:szCs w:val="24"/>
        </w:rPr>
        <w:tab/>
        <w:t xml:space="preserve">Adhami, H. R., Linder, T., Kaehlig, H., Schuster, D., Zehl, M., &amp; Krenn, L. (2012). Catechol alkenyls from Semecarpus anacardium: acetylcholinesterase inhibition and binding mode predictions. </w:t>
      </w:r>
      <w:r w:rsidRPr="00311558">
        <w:rPr>
          <w:rFonts w:ascii="Times New Roman" w:hAnsi="Times New Roman" w:cs="Times New Roman"/>
          <w:i/>
          <w:iCs/>
          <w:noProof/>
          <w:sz w:val="28"/>
          <w:szCs w:val="24"/>
        </w:rPr>
        <w:t>Journal of ethnopharmacology</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139</w:t>
      </w:r>
      <w:r w:rsidRPr="00311558">
        <w:rPr>
          <w:rFonts w:ascii="Times New Roman" w:hAnsi="Times New Roman" w:cs="Times New Roman"/>
          <w:noProof/>
          <w:sz w:val="28"/>
          <w:szCs w:val="24"/>
        </w:rPr>
        <w:t>(1), 142–148. doi:10.1016/j.jep.2011.10.032</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17. </w:t>
      </w:r>
      <w:r w:rsidRPr="00311558">
        <w:rPr>
          <w:rFonts w:ascii="Times New Roman" w:hAnsi="Times New Roman" w:cs="Times New Roman"/>
          <w:noProof/>
          <w:sz w:val="28"/>
          <w:szCs w:val="24"/>
        </w:rPr>
        <w:tab/>
        <w:t xml:space="preserve">Llanchezhian, R., Joseph C, R., &amp; Rabinarayan, A. (2012). Urushiol-induced contact dermatitis caused during Shodhana (purificatory measures) of Bhallataka (Semecarpus anacardium Linn.) fruit. </w:t>
      </w:r>
      <w:r w:rsidRPr="00311558">
        <w:rPr>
          <w:rFonts w:ascii="Times New Roman" w:hAnsi="Times New Roman" w:cs="Times New Roman"/>
          <w:i/>
          <w:iCs/>
          <w:noProof/>
          <w:sz w:val="28"/>
          <w:szCs w:val="24"/>
        </w:rPr>
        <w:t>Ayu</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33</w:t>
      </w:r>
      <w:r w:rsidRPr="00311558">
        <w:rPr>
          <w:rFonts w:ascii="Times New Roman" w:hAnsi="Times New Roman" w:cs="Times New Roman"/>
          <w:noProof/>
          <w:sz w:val="28"/>
          <w:szCs w:val="24"/>
        </w:rPr>
        <w:t>(2), 270–273. doi:10.4103/0974-8520.105250</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18. </w:t>
      </w:r>
      <w:r w:rsidRPr="00311558">
        <w:rPr>
          <w:rFonts w:ascii="Times New Roman" w:hAnsi="Times New Roman" w:cs="Times New Roman"/>
          <w:noProof/>
          <w:sz w:val="28"/>
          <w:szCs w:val="24"/>
        </w:rPr>
        <w:tab/>
        <w:t xml:space="preserve">Singh, R. K., Ranjan, A., Srivastava, A. K., Singh, M., Shukla, A. K., Atri, N., … Singh, S. K. (2019). Cytotoxic and apoptotic inducing activity of Amoora rohituka leaf extracts in human breast cancer cells. </w:t>
      </w:r>
      <w:r w:rsidRPr="00311558">
        <w:rPr>
          <w:rFonts w:ascii="Times New Roman" w:hAnsi="Times New Roman" w:cs="Times New Roman"/>
          <w:i/>
          <w:iCs/>
          <w:noProof/>
          <w:sz w:val="28"/>
          <w:szCs w:val="24"/>
        </w:rPr>
        <w:t>Journal of Ayurveda and Integrative Medicine</w:t>
      </w:r>
      <w:r w:rsidRPr="00311558">
        <w:rPr>
          <w:rFonts w:ascii="Times New Roman" w:hAnsi="Times New Roman" w:cs="Times New Roman"/>
          <w:noProof/>
          <w:sz w:val="28"/>
          <w:szCs w:val="24"/>
        </w:rPr>
        <w:t>. doi:https://doi.org/10.1016/j.jaim.2018.12.005</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19. </w:t>
      </w:r>
      <w:r w:rsidRPr="00311558">
        <w:rPr>
          <w:rFonts w:ascii="Times New Roman" w:hAnsi="Times New Roman" w:cs="Times New Roman"/>
          <w:noProof/>
          <w:sz w:val="28"/>
          <w:szCs w:val="24"/>
        </w:rPr>
        <w:tab/>
        <w:t xml:space="preserve">Usharani, B., &amp; Vasudevan, N. (2017). Root Exudates of Cyperus alternifolius in Partial Hydroponic Condition under Heavy Metal Stress. </w:t>
      </w:r>
      <w:r w:rsidRPr="00311558">
        <w:rPr>
          <w:rFonts w:ascii="Times New Roman" w:hAnsi="Times New Roman" w:cs="Times New Roman"/>
          <w:i/>
          <w:iCs/>
          <w:noProof/>
          <w:sz w:val="28"/>
          <w:szCs w:val="24"/>
        </w:rPr>
        <w:t>Pharmacognosy research</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9</w:t>
      </w:r>
      <w:r w:rsidRPr="00311558">
        <w:rPr>
          <w:rFonts w:ascii="Times New Roman" w:hAnsi="Times New Roman" w:cs="Times New Roman"/>
          <w:noProof/>
          <w:sz w:val="28"/>
          <w:szCs w:val="24"/>
        </w:rPr>
        <w:t>(3), 294–300. doi:10.4103/pr.pr_107_16</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20. </w:t>
      </w:r>
      <w:r w:rsidRPr="00311558">
        <w:rPr>
          <w:rFonts w:ascii="Times New Roman" w:hAnsi="Times New Roman" w:cs="Times New Roman"/>
          <w:noProof/>
          <w:sz w:val="28"/>
          <w:szCs w:val="24"/>
        </w:rPr>
        <w:tab/>
        <w:t>Ibms, A. L. M. P. G., Ibms, A. L. M. P. G., &amp; Ibms, A. L. M. P. G. (2015). formulation ) and its anticancer activity in MCF-7 cell line In vitro antioxidant potential of Shemamruthaa ( a herbal formulation ) and its anticancer activity in MCF-7 cell line Nandhakumar Elumalai a , Purushothaman Ayyakkannu a , Shanthi Palanivelu b .</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lastRenderedPageBreak/>
        <w:t xml:space="preserve">21. </w:t>
      </w:r>
      <w:r w:rsidRPr="00311558">
        <w:rPr>
          <w:rFonts w:ascii="Times New Roman" w:hAnsi="Times New Roman" w:cs="Times New Roman"/>
          <w:noProof/>
          <w:sz w:val="28"/>
          <w:szCs w:val="24"/>
        </w:rPr>
        <w:tab/>
        <w:t>Fitriani, A., Ihsan, F., &amp; Hamdiyati, Y. (2015). Antibacteria Activity of Shewanella and Pseudomonas as Endophytic Bacteria from the Root of Ageratum conyzoides L ., (June).</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22. </w:t>
      </w:r>
      <w:r w:rsidRPr="00311558">
        <w:rPr>
          <w:rFonts w:ascii="Times New Roman" w:hAnsi="Times New Roman" w:cs="Times New Roman"/>
          <w:noProof/>
          <w:sz w:val="28"/>
          <w:szCs w:val="24"/>
        </w:rPr>
        <w:tab/>
        <w:t xml:space="preserve">Singh, M., Singh, R. K., Singh, S. K., Mahto, S. K., &amp; Misra, N. (2018). In vitro biocompatibility analysis of functionalized poly(vinyl chloride)/layered double hydroxide nanocomposites. </w:t>
      </w:r>
      <w:r w:rsidRPr="00311558">
        <w:rPr>
          <w:rFonts w:ascii="Times New Roman" w:hAnsi="Times New Roman" w:cs="Times New Roman"/>
          <w:i/>
          <w:iCs/>
          <w:noProof/>
          <w:sz w:val="28"/>
          <w:szCs w:val="24"/>
        </w:rPr>
        <w:t>RSC Advances</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8</w:t>
      </w:r>
      <w:r w:rsidRPr="00311558">
        <w:rPr>
          <w:rFonts w:ascii="Times New Roman" w:hAnsi="Times New Roman" w:cs="Times New Roman"/>
          <w:noProof/>
          <w:sz w:val="28"/>
          <w:szCs w:val="24"/>
        </w:rPr>
        <w:t>(71), 40611–40620. doi:10.1039/C8RA06175K</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23. </w:t>
      </w:r>
      <w:r w:rsidRPr="00311558">
        <w:rPr>
          <w:rFonts w:ascii="Times New Roman" w:hAnsi="Times New Roman" w:cs="Times New Roman"/>
          <w:noProof/>
          <w:sz w:val="28"/>
          <w:szCs w:val="24"/>
        </w:rPr>
        <w:tab/>
        <w:t xml:space="preserve">Srivastava, M., Hegde, M., Chiruvella, K. K., Koroth, J., Bhattacharya, S., Choudhary, B., &amp; Raghavan, S. C. (2014). Sapodilla plum (Achras sapota) induces apoptosis in cancer cell lines and inhibits tumor progression in mice. </w:t>
      </w:r>
      <w:r w:rsidRPr="00311558">
        <w:rPr>
          <w:rFonts w:ascii="Times New Roman" w:hAnsi="Times New Roman" w:cs="Times New Roman"/>
          <w:i/>
          <w:iCs/>
          <w:noProof/>
          <w:sz w:val="28"/>
          <w:szCs w:val="24"/>
        </w:rPr>
        <w:t>Scientific reports</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4</w:t>
      </w:r>
      <w:r w:rsidRPr="00311558">
        <w:rPr>
          <w:rFonts w:ascii="Times New Roman" w:hAnsi="Times New Roman" w:cs="Times New Roman"/>
          <w:noProof/>
          <w:sz w:val="28"/>
          <w:szCs w:val="24"/>
        </w:rPr>
        <w:t>, 6147. doi:10.1038/srep06147</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24. </w:t>
      </w:r>
      <w:r w:rsidRPr="00311558">
        <w:rPr>
          <w:rFonts w:ascii="Times New Roman" w:hAnsi="Times New Roman" w:cs="Times New Roman"/>
          <w:noProof/>
          <w:sz w:val="28"/>
          <w:szCs w:val="24"/>
        </w:rPr>
        <w:tab/>
        <w:t xml:space="preserve">Thomas, E., Gopalakrishnan, V., Somasagara, R. R., Choudhary, B., &amp; Raghavan, S. C. (2016). Extract of Vernonia condensata, Inhibits Tumor Progression and Improves Survival  of Tumor-allograft Bearing Mouse. </w:t>
      </w:r>
      <w:r w:rsidRPr="00311558">
        <w:rPr>
          <w:rFonts w:ascii="Times New Roman" w:hAnsi="Times New Roman" w:cs="Times New Roman"/>
          <w:i/>
          <w:iCs/>
          <w:noProof/>
          <w:sz w:val="28"/>
          <w:szCs w:val="24"/>
        </w:rPr>
        <w:t>Scientific reports</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6</w:t>
      </w:r>
      <w:r w:rsidRPr="00311558">
        <w:rPr>
          <w:rFonts w:ascii="Times New Roman" w:hAnsi="Times New Roman" w:cs="Times New Roman"/>
          <w:noProof/>
          <w:sz w:val="28"/>
          <w:szCs w:val="24"/>
        </w:rPr>
        <w:t>, 23255. doi:10.1038/srep23255</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25. </w:t>
      </w:r>
      <w:r w:rsidRPr="00311558">
        <w:rPr>
          <w:rFonts w:ascii="Times New Roman" w:hAnsi="Times New Roman" w:cs="Times New Roman"/>
          <w:noProof/>
          <w:sz w:val="28"/>
          <w:szCs w:val="24"/>
        </w:rPr>
        <w:tab/>
        <w:t xml:space="preserve">Daina, A., Michielin, O., &amp; Zoete, V. (2017). SwissADME : a free web tool to evaluate pharmacokinetics , drug- likeness and medicinal chemistry friendliness of small molecules. </w:t>
      </w:r>
      <w:r w:rsidRPr="00311558">
        <w:rPr>
          <w:rFonts w:ascii="Times New Roman" w:hAnsi="Times New Roman" w:cs="Times New Roman"/>
          <w:i/>
          <w:iCs/>
          <w:noProof/>
          <w:sz w:val="28"/>
          <w:szCs w:val="24"/>
        </w:rPr>
        <w:t>Nature Publishing Group</w:t>
      </w:r>
      <w:r w:rsidRPr="00311558">
        <w:rPr>
          <w:rFonts w:ascii="Times New Roman" w:hAnsi="Times New Roman" w:cs="Times New Roman"/>
          <w:noProof/>
          <w:sz w:val="28"/>
          <w:szCs w:val="24"/>
        </w:rPr>
        <w:t>, (January), 1–13. doi:10.1038/srep42717</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26. </w:t>
      </w:r>
      <w:r w:rsidRPr="00311558">
        <w:rPr>
          <w:rFonts w:ascii="Times New Roman" w:hAnsi="Times New Roman" w:cs="Times New Roman"/>
          <w:noProof/>
          <w:sz w:val="28"/>
          <w:szCs w:val="24"/>
        </w:rPr>
        <w:tab/>
        <w:t xml:space="preserve">Baell, J., Congreve, M., Leeson, P., &amp; Abad-Zapatero, C. (2013, May). Ask the experts: past, present and future of the rule of five. </w:t>
      </w:r>
      <w:r w:rsidRPr="00311558">
        <w:rPr>
          <w:rFonts w:ascii="Times New Roman" w:hAnsi="Times New Roman" w:cs="Times New Roman"/>
          <w:i/>
          <w:iCs/>
          <w:noProof/>
          <w:sz w:val="28"/>
          <w:szCs w:val="24"/>
        </w:rPr>
        <w:t>Future medicinal chemistry</w:t>
      </w:r>
      <w:r w:rsidRPr="00311558">
        <w:rPr>
          <w:rFonts w:ascii="Times New Roman" w:hAnsi="Times New Roman" w:cs="Times New Roman"/>
          <w:noProof/>
          <w:sz w:val="28"/>
          <w:szCs w:val="24"/>
        </w:rPr>
        <w:t>. England. doi:10.4155/fmc.13.61</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27. </w:t>
      </w:r>
      <w:r w:rsidRPr="00311558">
        <w:rPr>
          <w:rFonts w:ascii="Times New Roman" w:hAnsi="Times New Roman" w:cs="Times New Roman"/>
          <w:noProof/>
          <w:sz w:val="28"/>
          <w:szCs w:val="24"/>
        </w:rPr>
        <w:tab/>
        <w:t xml:space="preserve">Ronchi, V. P., Kim, E. D., Summa, C. M., Klein, J. M., &amp; Haas, A. L. (2017). In silico modeling of the cryptic E2 approximately ubiquitin-binding site of E6-associated protein (E6AP)/UBE3A reveals the mechanism of polyubiquitin chain assembly. </w:t>
      </w:r>
      <w:r w:rsidRPr="00311558">
        <w:rPr>
          <w:rFonts w:ascii="Times New Roman" w:hAnsi="Times New Roman" w:cs="Times New Roman"/>
          <w:i/>
          <w:iCs/>
          <w:noProof/>
          <w:sz w:val="28"/>
          <w:szCs w:val="24"/>
        </w:rPr>
        <w:t>The Journal of biological chemistry</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292</w:t>
      </w:r>
      <w:r w:rsidRPr="00311558">
        <w:rPr>
          <w:rFonts w:ascii="Times New Roman" w:hAnsi="Times New Roman" w:cs="Times New Roman"/>
          <w:noProof/>
          <w:sz w:val="28"/>
          <w:szCs w:val="24"/>
        </w:rPr>
        <w:t>(44), 18006–18023. doi:10.1074/jbc.M117.813477</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28. </w:t>
      </w:r>
      <w:r w:rsidRPr="00311558">
        <w:rPr>
          <w:rFonts w:ascii="Times New Roman" w:hAnsi="Times New Roman" w:cs="Times New Roman"/>
          <w:noProof/>
          <w:sz w:val="28"/>
          <w:szCs w:val="24"/>
        </w:rPr>
        <w:tab/>
        <w:t xml:space="preserve">Mfotie Njoya, E., Munvera, A. M., Mkounga, P., Nkengfack, A. E., &amp; McGaw, L. J. (2017). Phytochemical analysis with free radical scavenging, nitric oxide inhibition and antiproliferative activity of Sarcocephalus pobeguinii extracts. </w:t>
      </w:r>
      <w:r w:rsidRPr="00311558">
        <w:rPr>
          <w:rFonts w:ascii="Times New Roman" w:hAnsi="Times New Roman" w:cs="Times New Roman"/>
          <w:i/>
          <w:iCs/>
          <w:noProof/>
          <w:sz w:val="28"/>
          <w:szCs w:val="24"/>
        </w:rPr>
        <w:t>BMC Complementary and Alternative Medicine</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17</w:t>
      </w:r>
      <w:r w:rsidRPr="00311558">
        <w:rPr>
          <w:rFonts w:ascii="Times New Roman" w:hAnsi="Times New Roman" w:cs="Times New Roman"/>
          <w:noProof/>
          <w:sz w:val="28"/>
          <w:szCs w:val="24"/>
        </w:rPr>
        <w:t>(1), 199. doi:10.1186/s12906-017-1712-5</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29. </w:t>
      </w:r>
      <w:r w:rsidRPr="00311558">
        <w:rPr>
          <w:rFonts w:ascii="Times New Roman" w:hAnsi="Times New Roman" w:cs="Times New Roman"/>
          <w:noProof/>
          <w:sz w:val="28"/>
          <w:szCs w:val="24"/>
        </w:rPr>
        <w:tab/>
        <w:t xml:space="preserve">Mathivadhani, P., Shanthi, P., &amp; Sachdanandam, P. (2007). Effect of Semecarpus anacardium nut extract on ECM and proteases in mammary carcinoma rats. </w:t>
      </w:r>
      <w:r w:rsidRPr="00311558">
        <w:rPr>
          <w:rFonts w:ascii="Times New Roman" w:hAnsi="Times New Roman" w:cs="Times New Roman"/>
          <w:i/>
          <w:iCs/>
          <w:noProof/>
          <w:sz w:val="28"/>
          <w:szCs w:val="24"/>
        </w:rPr>
        <w:t>Vascular pharmacology</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46</w:t>
      </w:r>
      <w:r w:rsidRPr="00311558">
        <w:rPr>
          <w:rFonts w:ascii="Times New Roman" w:hAnsi="Times New Roman" w:cs="Times New Roman"/>
          <w:noProof/>
          <w:sz w:val="28"/>
          <w:szCs w:val="24"/>
        </w:rPr>
        <w:t xml:space="preserve">(6), 419–426. </w:t>
      </w:r>
      <w:r w:rsidRPr="00311558">
        <w:rPr>
          <w:rFonts w:ascii="Times New Roman" w:hAnsi="Times New Roman" w:cs="Times New Roman"/>
          <w:noProof/>
          <w:sz w:val="28"/>
          <w:szCs w:val="24"/>
        </w:rPr>
        <w:lastRenderedPageBreak/>
        <w:t>doi:10.1016/j.vph.2006.12.004</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30. </w:t>
      </w:r>
      <w:r w:rsidRPr="00311558">
        <w:rPr>
          <w:rFonts w:ascii="Times New Roman" w:hAnsi="Times New Roman" w:cs="Times New Roman"/>
          <w:noProof/>
          <w:sz w:val="28"/>
          <w:szCs w:val="24"/>
        </w:rPr>
        <w:tab/>
        <w:t xml:space="preserve">Sujatha, V., &amp; Sachdanandam, P. (2002). Recuperative effect of Semecarpus anacardium linn. nut milk extract on carbohydrate metabolizing enzymes in experimental mammary carcinoma-bearing rats. </w:t>
      </w:r>
      <w:r w:rsidRPr="00311558">
        <w:rPr>
          <w:rFonts w:ascii="Times New Roman" w:hAnsi="Times New Roman" w:cs="Times New Roman"/>
          <w:i/>
          <w:iCs/>
          <w:noProof/>
          <w:sz w:val="28"/>
          <w:szCs w:val="24"/>
        </w:rPr>
        <w:t>Phytotherapy research : PTR</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16 Suppl 1</w:t>
      </w:r>
      <w:r w:rsidRPr="00311558">
        <w:rPr>
          <w:rFonts w:ascii="Times New Roman" w:hAnsi="Times New Roman" w:cs="Times New Roman"/>
          <w:noProof/>
          <w:sz w:val="28"/>
          <w:szCs w:val="24"/>
        </w:rPr>
        <w:t>, S14-8.</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31. </w:t>
      </w:r>
      <w:r w:rsidRPr="00311558">
        <w:rPr>
          <w:rFonts w:ascii="Times New Roman" w:hAnsi="Times New Roman" w:cs="Times New Roman"/>
          <w:noProof/>
          <w:sz w:val="28"/>
          <w:szCs w:val="24"/>
        </w:rPr>
        <w:tab/>
        <w:t xml:space="preserve">Arathi, G., &amp; Sachdanandam, P. (2003). Therapeutic effect of Semecarpus anacardium Linn. nut milk extract on carbohydrate metabolizing and mitochondrial TCA cycle and respiratory chain enzymes in mammary carcinoma rats. </w:t>
      </w:r>
      <w:r w:rsidRPr="00311558">
        <w:rPr>
          <w:rFonts w:ascii="Times New Roman" w:hAnsi="Times New Roman" w:cs="Times New Roman"/>
          <w:i/>
          <w:iCs/>
          <w:noProof/>
          <w:sz w:val="28"/>
          <w:szCs w:val="24"/>
        </w:rPr>
        <w:t>The Journal of pharmacy and pharmacology</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55</w:t>
      </w:r>
      <w:r w:rsidRPr="00311558">
        <w:rPr>
          <w:rFonts w:ascii="Times New Roman" w:hAnsi="Times New Roman" w:cs="Times New Roman"/>
          <w:noProof/>
          <w:sz w:val="28"/>
          <w:szCs w:val="24"/>
        </w:rPr>
        <w:t>(9), 1283–1290. doi:10.1211/0022357021710</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32. </w:t>
      </w:r>
      <w:r w:rsidRPr="00311558">
        <w:rPr>
          <w:rFonts w:ascii="Times New Roman" w:hAnsi="Times New Roman" w:cs="Times New Roman"/>
          <w:noProof/>
          <w:sz w:val="28"/>
          <w:szCs w:val="24"/>
        </w:rPr>
        <w:tab/>
        <w:t xml:space="preserve">Mathivadhani, P., Shanthi, P., &amp; Sachdanandam, P. (2006). Effect of Semecarpus anacardium Linn. nut milk extract on glutathione and its associated enzymes in experimentally induced mammary carcinoma. </w:t>
      </w:r>
      <w:r w:rsidRPr="00311558">
        <w:rPr>
          <w:rFonts w:ascii="Times New Roman" w:hAnsi="Times New Roman" w:cs="Times New Roman"/>
          <w:i/>
          <w:iCs/>
          <w:noProof/>
          <w:sz w:val="28"/>
          <w:szCs w:val="24"/>
        </w:rPr>
        <w:t>Journal of medicinal food</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9</w:t>
      </w:r>
      <w:r w:rsidRPr="00311558">
        <w:rPr>
          <w:rFonts w:ascii="Times New Roman" w:hAnsi="Times New Roman" w:cs="Times New Roman"/>
          <w:noProof/>
          <w:sz w:val="28"/>
          <w:szCs w:val="24"/>
        </w:rPr>
        <w:t>(2), 265–269. doi:10.1089/jmf.2006.9.265</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33. </w:t>
      </w:r>
      <w:r w:rsidRPr="00311558">
        <w:rPr>
          <w:rFonts w:ascii="Times New Roman" w:hAnsi="Times New Roman" w:cs="Times New Roman"/>
          <w:noProof/>
          <w:sz w:val="28"/>
          <w:szCs w:val="24"/>
        </w:rPr>
        <w:tab/>
        <w:t xml:space="preserve">Mathivadhani, P., Shanthi, P., &amp; Sachdanandam, P. (2007). Hypoxia and its downstream targets in DMBA induced mammary carcinoma: protective  role of Semecarpus anacardium nut extract. </w:t>
      </w:r>
      <w:r w:rsidRPr="00311558">
        <w:rPr>
          <w:rFonts w:ascii="Times New Roman" w:hAnsi="Times New Roman" w:cs="Times New Roman"/>
          <w:i/>
          <w:iCs/>
          <w:noProof/>
          <w:sz w:val="28"/>
          <w:szCs w:val="24"/>
        </w:rPr>
        <w:t>Chemico-biological interactions</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167</w:t>
      </w:r>
      <w:r w:rsidRPr="00311558">
        <w:rPr>
          <w:rFonts w:ascii="Times New Roman" w:hAnsi="Times New Roman" w:cs="Times New Roman"/>
          <w:noProof/>
          <w:sz w:val="28"/>
          <w:szCs w:val="24"/>
        </w:rPr>
        <w:t>(1), 31–40. doi:10.1016/j.cbi.2007.01.003</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34. </w:t>
      </w:r>
      <w:r w:rsidRPr="00311558">
        <w:rPr>
          <w:rFonts w:ascii="Times New Roman" w:hAnsi="Times New Roman" w:cs="Times New Roman"/>
          <w:noProof/>
          <w:sz w:val="28"/>
          <w:szCs w:val="24"/>
        </w:rPr>
        <w:tab/>
        <w:t xml:space="preserve">Joseph, J. P., Raval, S. K., Sadariya, K. A., Jhala, M., &amp; Kumar, P. (2013). Anti cancerous efficacy of Ayurvedic milk extract of Semecarpus anacardium nuts on hepatocellular carcinoma in Wistar rats. </w:t>
      </w:r>
      <w:r w:rsidRPr="00311558">
        <w:rPr>
          <w:rFonts w:ascii="Times New Roman" w:hAnsi="Times New Roman" w:cs="Times New Roman"/>
          <w:i/>
          <w:iCs/>
          <w:noProof/>
          <w:sz w:val="28"/>
          <w:szCs w:val="24"/>
        </w:rPr>
        <w:t>African journal of traditional, complementary, and alternative medicines : AJTCAM</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10</w:t>
      </w:r>
      <w:r w:rsidRPr="00311558">
        <w:rPr>
          <w:rFonts w:ascii="Times New Roman" w:hAnsi="Times New Roman" w:cs="Times New Roman"/>
          <w:noProof/>
          <w:sz w:val="28"/>
          <w:szCs w:val="24"/>
        </w:rPr>
        <w:t>(5), 299–304.</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35. </w:t>
      </w:r>
      <w:r w:rsidRPr="00311558">
        <w:rPr>
          <w:rFonts w:ascii="Times New Roman" w:hAnsi="Times New Roman" w:cs="Times New Roman"/>
          <w:noProof/>
          <w:sz w:val="28"/>
          <w:szCs w:val="24"/>
        </w:rPr>
        <w:tab/>
        <w:t xml:space="preserve">Mathivadhani, P., Shanthi, P., &amp; Sachdanandam, P. (2007). Apoptotic effect of Semecarpus anacardium nut extract on T47D breast cancer cell  line. </w:t>
      </w:r>
      <w:r w:rsidRPr="00311558">
        <w:rPr>
          <w:rFonts w:ascii="Times New Roman" w:hAnsi="Times New Roman" w:cs="Times New Roman"/>
          <w:i/>
          <w:iCs/>
          <w:noProof/>
          <w:sz w:val="28"/>
          <w:szCs w:val="24"/>
        </w:rPr>
        <w:t>Cell biology international</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31</w:t>
      </w:r>
      <w:r w:rsidRPr="00311558">
        <w:rPr>
          <w:rFonts w:ascii="Times New Roman" w:hAnsi="Times New Roman" w:cs="Times New Roman"/>
          <w:noProof/>
          <w:sz w:val="28"/>
          <w:szCs w:val="24"/>
        </w:rPr>
        <w:t>(10), 1198–1206. doi:10.1016/j.cellbi.2007.04.004</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36. </w:t>
      </w:r>
      <w:r w:rsidRPr="00311558">
        <w:rPr>
          <w:rFonts w:ascii="Times New Roman" w:hAnsi="Times New Roman" w:cs="Times New Roman"/>
          <w:noProof/>
          <w:sz w:val="28"/>
          <w:szCs w:val="24"/>
        </w:rPr>
        <w:tab/>
        <w:t xml:space="preserve">Kumar, A. D. N., Bevara, G. B., Kaja, L. K., Badana, A. K., &amp; Malla, R. R. (2016). Protective effect of 3-O-methyl quercetin and kaempferol from Semecarpus anacardium against H2O2 induced cytotoxicity in lung and liver cells. </w:t>
      </w:r>
      <w:r w:rsidRPr="00311558">
        <w:rPr>
          <w:rFonts w:ascii="Times New Roman" w:hAnsi="Times New Roman" w:cs="Times New Roman"/>
          <w:i/>
          <w:iCs/>
          <w:noProof/>
          <w:sz w:val="28"/>
          <w:szCs w:val="24"/>
        </w:rPr>
        <w:t>BMC complementary and alternative medicine</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16</w:t>
      </w:r>
      <w:r w:rsidRPr="00311558">
        <w:rPr>
          <w:rFonts w:ascii="Times New Roman" w:hAnsi="Times New Roman" w:cs="Times New Roman"/>
          <w:noProof/>
          <w:sz w:val="28"/>
          <w:szCs w:val="24"/>
        </w:rPr>
        <w:t>(1), 376. doi:10.1186/s12906-016-1354-z</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37. </w:t>
      </w:r>
      <w:r w:rsidRPr="00311558">
        <w:rPr>
          <w:rFonts w:ascii="Times New Roman" w:hAnsi="Times New Roman" w:cs="Times New Roman"/>
          <w:noProof/>
          <w:sz w:val="28"/>
          <w:szCs w:val="24"/>
        </w:rPr>
        <w:tab/>
        <w:t xml:space="preserve">Hanahan, D., &amp; Weinberg, R. A. (2011). Hallmarks of cancer: the next generation. </w:t>
      </w:r>
      <w:r w:rsidRPr="00311558">
        <w:rPr>
          <w:rFonts w:ascii="Times New Roman" w:hAnsi="Times New Roman" w:cs="Times New Roman"/>
          <w:i/>
          <w:iCs/>
          <w:noProof/>
          <w:sz w:val="28"/>
          <w:szCs w:val="24"/>
        </w:rPr>
        <w:t>Cell</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144</w:t>
      </w:r>
      <w:r w:rsidRPr="00311558">
        <w:rPr>
          <w:rFonts w:ascii="Times New Roman" w:hAnsi="Times New Roman" w:cs="Times New Roman"/>
          <w:noProof/>
          <w:sz w:val="28"/>
          <w:szCs w:val="24"/>
        </w:rPr>
        <w:t>(5), 646–674. doi:10.1016/j.cell.2011.02.013</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38. </w:t>
      </w:r>
      <w:r w:rsidRPr="00311558">
        <w:rPr>
          <w:rFonts w:ascii="Times New Roman" w:hAnsi="Times New Roman" w:cs="Times New Roman"/>
          <w:noProof/>
          <w:sz w:val="28"/>
          <w:szCs w:val="24"/>
        </w:rPr>
        <w:tab/>
        <w:t xml:space="preserve">Singh, S., Sharma, B., Kanwar, S. S., &amp; Kumar, A. (2016). Lead </w:t>
      </w:r>
      <w:r w:rsidRPr="00311558">
        <w:rPr>
          <w:rFonts w:ascii="Times New Roman" w:hAnsi="Times New Roman" w:cs="Times New Roman"/>
          <w:noProof/>
          <w:sz w:val="28"/>
          <w:szCs w:val="24"/>
        </w:rPr>
        <w:lastRenderedPageBreak/>
        <w:t xml:space="preserve">Phytochemicals for Anticancer Drug Development. </w:t>
      </w:r>
      <w:r w:rsidRPr="00311558">
        <w:rPr>
          <w:rFonts w:ascii="Times New Roman" w:hAnsi="Times New Roman" w:cs="Times New Roman"/>
          <w:i/>
          <w:iCs/>
          <w:noProof/>
          <w:sz w:val="28"/>
          <w:szCs w:val="24"/>
        </w:rPr>
        <w:t>Frontiers in plant science</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7</w:t>
      </w:r>
      <w:r w:rsidRPr="00311558">
        <w:rPr>
          <w:rFonts w:ascii="Times New Roman" w:hAnsi="Times New Roman" w:cs="Times New Roman"/>
          <w:noProof/>
          <w:sz w:val="28"/>
          <w:szCs w:val="24"/>
        </w:rPr>
        <w:t>, 1667. doi:10.3389/fpls.2016.01667</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39. </w:t>
      </w:r>
      <w:r w:rsidRPr="00311558">
        <w:rPr>
          <w:rFonts w:ascii="Times New Roman" w:hAnsi="Times New Roman" w:cs="Times New Roman"/>
          <w:noProof/>
          <w:sz w:val="28"/>
          <w:szCs w:val="24"/>
        </w:rPr>
        <w:tab/>
        <w:t xml:space="preserve">Vijayarathna, S., Chen, Y., Kanwar, J. R., &amp; Sasidharan, S. (2017). Standardized Polyalthia longifolia leaf extract (PLME) inhibits cell proliferation and promotes apoptosis: The anti-cancer study with various microscopy methods. </w:t>
      </w:r>
      <w:r w:rsidRPr="00311558">
        <w:rPr>
          <w:rFonts w:ascii="Times New Roman" w:hAnsi="Times New Roman" w:cs="Times New Roman"/>
          <w:i/>
          <w:iCs/>
          <w:noProof/>
          <w:sz w:val="28"/>
          <w:szCs w:val="24"/>
        </w:rPr>
        <w:t>Biomedicine &amp; pharmacotherapy = Biomedecine &amp; pharmacotherapie</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91</w:t>
      </w:r>
      <w:r w:rsidRPr="00311558">
        <w:rPr>
          <w:rFonts w:ascii="Times New Roman" w:hAnsi="Times New Roman" w:cs="Times New Roman"/>
          <w:noProof/>
          <w:sz w:val="28"/>
          <w:szCs w:val="24"/>
        </w:rPr>
        <w:t>, 366–377. doi:10.1016/j.biopha.2017.04.112</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40. </w:t>
      </w:r>
      <w:r w:rsidRPr="00311558">
        <w:rPr>
          <w:rFonts w:ascii="Times New Roman" w:hAnsi="Times New Roman" w:cs="Times New Roman"/>
          <w:noProof/>
          <w:sz w:val="28"/>
          <w:szCs w:val="24"/>
        </w:rPr>
        <w:tab/>
        <w:t xml:space="preserve">Mallick, N., Singh, M., Parveen, R., Khan, W., Ahmad, S., Najm, M. Z., &amp; Husain, S. A. (2015). HPTLC Analysis of Bioactivity Guided Anticancer Enriched Fraction of Hydroalcoholic Extract of Picrorhiza kurroa, </w:t>
      </w:r>
      <w:r w:rsidRPr="00311558">
        <w:rPr>
          <w:rFonts w:ascii="Times New Roman" w:hAnsi="Times New Roman" w:cs="Times New Roman"/>
          <w:i/>
          <w:iCs/>
          <w:noProof/>
          <w:sz w:val="28"/>
          <w:szCs w:val="24"/>
        </w:rPr>
        <w:t>2015</w:t>
      </w:r>
      <w:r w:rsidRPr="00311558">
        <w:rPr>
          <w:rFonts w:ascii="Times New Roman" w:hAnsi="Times New Roman" w:cs="Times New Roman"/>
          <w:noProof/>
          <w:sz w:val="28"/>
          <w:szCs w:val="24"/>
        </w:rPr>
        <w:t>. doi:10.1155/2015/513875</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41. </w:t>
      </w:r>
      <w:r w:rsidRPr="00311558">
        <w:rPr>
          <w:rFonts w:ascii="Times New Roman" w:hAnsi="Times New Roman" w:cs="Times New Roman"/>
          <w:noProof/>
          <w:sz w:val="28"/>
          <w:szCs w:val="24"/>
        </w:rPr>
        <w:tab/>
        <w:t xml:space="preserve">Ramya, P. V. S., Guntuku, L., Angapelly, S., Digwal, C. S., Lakshmi, U. J., Sigalapalli, D. K., … Kamal, A. (2018). Synthesis and biological evaluation of curcumin inspired imidazo[1,2-a]pyridine analogues as tubulin polymerization inhibitors. </w:t>
      </w:r>
      <w:r w:rsidRPr="00311558">
        <w:rPr>
          <w:rFonts w:ascii="Times New Roman" w:hAnsi="Times New Roman" w:cs="Times New Roman"/>
          <w:i/>
          <w:iCs/>
          <w:noProof/>
          <w:sz w:val="28"/>
          <w:szCs w:val="24"/>
        </w:rPr>
        <w:t>European journal of medicinal chemistry</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143</w:t>
      </w:r>
      <w:r w:rsidRPr="00311558">
        <w:rPr>
          <w:rFonts w:ascii="Times New Roman" w:hAnsi="Times New Roman" w:cs="Times New Roman"/>
          <w:noProof/>
          <w:sz w:val="28"/>
          <w:szCs w:val="24"/>
        </w:rPr>
        <w:t>, 216–231. doi:10.1016/j.ejmech.2017.11.010</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42. </w:t>
      </w:r>
      <w:r w:rsidRPr="00311558">
        <w:rPr>
          <w:rFonts w:ascii="Times New Roman" w:hAnsi="Times New Roman" w:cs="Times New Roman"/>
          <w:noProof/>
          <w:sz w:val="28"/>
          <w:szCs w:val="24"/>
        </w:rPr>
        <w:tab/>
        <w:t xml:space="preserve">Krishnan, P., Rajan, M., Kumari, S., Sakinah, S., Priya, S. P., Amira, F., … Kumar, S. S. (2017). Efficiency of newly formulated camptothecin with beta-cyclodextrin-EDTA-Fe3O4 nanoparticle-conjugated nanocarriers as an anti-colon cancer (HT29) drug. </w:t>
      </w:r>
      <w:r w:rsidRPr="00311558">
        <w:rPr>
          <w:rFonts w:ascii="Times New Roman" w:hAnsi="Times New Roman" w:cs="Times New Roman"/>
          <w:i/>
          <w:iCs/>
          <w:noProof/>
          <w:sz w:val="28"/>
          <w:szCs w:val="24"/>
        </w:rPr>
        <w:t>Scientific reports</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7</w:t>
      </w:r>
      <w:r w:rsidRPr="00311558">
        <w:rPr>
          <w:rFonts w:ascii="Times New Roman" w:hAnsi="Times New Roman" w:cs="Times New Roman"/>
          <w:noProof/>
          <w:sz w:val="28"/>
          <w:szCs w:val="24"/>
        </w:rPr>
        <w:t>(1), 10962. doi:10.1038/s41598-017-09140-1</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43. </w:t>
      </w:r>
      <w:r w:rsidRPr="00311558">
        <w:rPr>
          <w:rFonts w:ascii="Times New Roman" w:hAnsi="Times New Roman" w:cs="Times New Roman"/>
          <w:noProof/>
          <w:sz w:val="28"/>
          <w:szCs w:val="24"/>
        </w:rPr>
        <w:tab/>
        <w:t xml:space="preserve">Gao, L., Wang, K.-X., Zhou, Y.-Z., Fang, J.-S., Qin, X.-M., &amp; Du, G.-H. (2018). Uncovering the anticancer mechanism of Compound Kushen Injection against HCC by integrating quantitative analysis, network analysis and experimental validation. </w:t>
      </w:r>
      <w:r w:rsidRPr="00311558">
        <w:rPr>
          <w:rFonts w:ascii="Times New Roman" w:hAnsi="Times New Roman" w:cs="Times New Roman"/>
          <w:i/>
          <w:iCs/>
          <w:noProof/>
          <w:sz w:val="28"/>
          <w:szCs w:val="24"/>
        </w:rPr>
        <w:t>Scientific reports</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8</w:t>
      </w:r>
      <w:r w:rsidRPr="00311558">
        <w:rPr>
          <w:rFonts w:ascii="Times New Roman" w:hAnsi="Times New Roman" w:cs="Times New Roman"/>
          <w:noProof/>
          <w:sz w:val="28"/>
          <w:szCs w:val="24"/>
        </w:rPr>
        <w:t>(1), 624. doi:10.1038/s41598-017-18325-7</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44. </w:t>
      </w:r>
      <w:r w:rsidRPr="00311558">
        <w:rPr>
          <w:rFonts w:ascii="Times New Roman" w:hAnsi="Times New Roman" w:cs="Times New Roman"/>
          <w:noProof/>
          <w:sz w:val="28"/>
          <w:szCs w:val="24"/>
        </w:rPr>
        <w:tab/>
        <w:t xml:space="preserve">Jiang, Z., Qian, J., Dong, H., Yang, J., Yu, X., Chen, J., … Jia, L. (2017). The traditional Chinese medicine Achyranthes bidentata and our de novo conception of its metastatic chemoprevention: from phytochemistry to pharmacology. </w:t>
      </w:r>
      <w:r w:rsidRPr="00311558">
        <w:rPr>
          <w:rFonts w:ascii="Times New Roman" w:hAnsi="Times New Roman" w:cs="Times New Roman"/>
          <w:i/>
          <w:iCs/>
          <w:noProof/>
          <w:sz w:val="28"/>
          <w:szCs w:val="24"/>
        </w:rPr>
        <w:t>Scientific reports</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7</w:t>
      </w:r>
      <w:r w:rsidRPr="00311558">
        <w:rPr>
          <w:rFonts w:ascii="Times New Roman" w:hAnsi="Times New Roman" w:cs="Times New Roman"/>
          <w:noProof/>
          <w:sz w:val="28"/>
          <w:szCs w:val="24"/>
        </w:rPr>
        <w:t>(1), 3888. doi:10.1038/s41598-017-02054-y</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45. </w:t>
      </w:r>
      <w:r w:rsidRPr="00311558">
        <w:rPr>
          <w:rFonts w:ascii="Times New Roman" w:hAnsi="Times New Roman" w:cs="Times New Roman"/>
          <w:noProof/>
          <w:sz w:val="28"/>
          <w:szCs w:val="24"/>
        </w:rPr>
        <w:tab/>
        <w:t xml:space="preserve">Liang, F., Han, Y., Gao, H., Xin, S., Chen, S., Wang, N., … Li, S. (2015). Kaempferol Identified by Zebrafish Assay and Fine Fractionations Strategy from Dysosma versipellis Inhibits Angiogenesis through VEGF and FGF Pathways. </w:t>
      </w:r>
      <w:r w:rsidRPr="00311558">
        <w:rPr>
          <w:rFonts w:ascii="Times New Roman" w:hAnsi="Times New Roman" w:cs="Times New Roman"/>
          <w:i/>
          <w:iCs/>
          <w:noProof/>
          <w:sz w:val="28"/>
          <w:szCs w:val="24"/>
        </w:rPr>
        <w:t>Scientific reports</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5</w:t>
      </w:r>
      <w:r w:rsidRPr="00311558">
        <w:rPr>
          <w:rFonts w:ascii="Times New Roman" w:hAnsi="Times New Roman" w:cs="Times New Roman"/>
          <w:noProof/>
          <w:sz w:val="28"/>
          <w:szCs w:val="24"/>
        </w:rPr>
        <w:t>, 14468. doi:10.1038/srep14468</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lastRenderedPageBreak/>
        <w:t xml:space="preserve">46. </w:t>
      </w:r>
      <w:r w:rsidRPr="00311558">
        <w:rPr>
          <w:rFonts w:ascii="Times New Roman" w:hAnsi="Times New Roman" w:cs="Times New Roman"/>
          <w:noProof/>
          <w:sz w:val="28"/>
          <w:szCs w:val="24"/>
        </w:rPr>
        <w:tab/>
        <w:t xml:space="preserve">Schulze-Gahmen, U., Brandsen, J., Jones, H. D., Morgan, D. O., Meijer, L., Vesely, J., &amp; Kim, S. H. (1995). Multiple modes of ligand recognition: crystal structures of cyclin-dependent protein kinase 2 in complex with ATP and two inhibitors, olomoucine and isopentenyladenine. </w:t>
      </w:r>
      <w:r w:rsidRPr="00311558">
        <w:rPr>
          <w:rFonts w:ascii="Times New Roman" w:hAnsi="Times New Roman" w:cs="Times New Roman"/>
          <w:i/>
          <w:iCs/>
          <w:noProof/>
          <w:sz w:val="28"/>
          <w:szCs w:val="24"/>
        </w:rPr>
        <w:t>Proteins</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22</w:t>
      </w:r>
      <w:r w:rsidRPr="00311558">
        <w:rPr>
          <w:rFonts w:ascii="Times New Roman" w:hAnsi="Times New Roman" w:cs="Times New Roman"/>
          <w:noProof/>
          <w:sz w:val="28"/>
          <w:szCs w:val="24"/>
        </w:rPr>
        <w:t>(4), 378–391. doi:10.1002/prot.340220408</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47. </w:t>
      </w:r>
      <w:r w:rsidRPr="00311558">
        <w:rPr>
          <w:rFonts w:ascii="Times New Roman" w:hAnsi="Times New Roman" w:cs="Times New Roman"/>
          <w:noProof/>
          <w:sz w:val="28"/>
          <w:szCs w:val="24"/>
        </w:rPr>
        <w:tab/>
        <w:t xml:space="preserve">Lapenna, S., &amp; Giordano, A. (2009). Cell cycle kinases as therapeutic targets for cancer. </w:t>
      </w:r>
      <w:r w:rsidRPr="00311558">
        <w:rPr>
          <w:rFonts w:ascii="Times New Roman" w:hAnsi="Times New Roman" w:cs="Times New Roman"/>
          <w:i/>
          <w:iCs/>
          <w:noProof/>
          <w:sz w:val="28"/>
          <w:szCs w:val="24"/>
        </w:rPr>
        <w:t>Nature reviews. Drug discovery</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8</w:t>
      </w:r>
      <w:r w:rsidRPr="00311558">
        <w:rPr>
          <w:rFonts w:ascii="Times New Roman" w:hAnsi="Times New Roman" w:cs="Times New Roman"/>
          <w:noProof/>
          <w:sz w:val="28"/>
          <w:szCs w:val="24"/>
        </w:rPr>
        <w:t>(7), 547–566. doi:10.1038/nrd2907</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48. </w:t>
      </w:r>
      <w:r w:rsidRPr="00311558">
        <w:rPr>
          <w:rFonts w:ascii="Times New Roman" w:hAnsi="Times New Roman" w:cs="Times New Roman"/>
          <w:noProof/>
          <w:sz w:val="28"/>
          <w:szCs w:val="24"/>
        </w:rPr>
        <w:tab/>
        <w:t xml:space="preserve">Sundaram, R., Karuppaiah, M., Shanthi, P., &amp; Sachdanandam, P. (2018). Acute and sub acute studies of catechol derivatives from Semecarpus anacardium. </w:t>
      </w:r>
      <w:r w:rsidRPr="00311558">
        <w:rPr>
          <w:rFonts w:ascii="Times New Roman" w:hAnsi="Times New Roman" w:cs="Times New Roman"/>
          <w:i/>
          <w:iCs/>
          <w:noProof/>
          <w:sz w:val="28"/>
          <w:szCs w:val="24"/>
        </w:rPr>
        <w:t>Toxicology reports</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5</w:t>
      </w:r>
      <w:r w:rsidRPr="00311558">
        <w:rPr>
          <w:rFonts w:ascii="Times New Roman" w:hAnsi="Times New Roman" w:cs="Times New Roman"/>
          <w:noProof/>
          <w:sz w:val="28"/>
          <w:szCs w:val="24"/>
        </w:rPr>
        <w:t>, 231–239. doi:10.1016/j.toxrep.2018.01.004</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49. </w:t>
      </w:r>
      <w:r w:rsidRPr="00311558">
        <w:rPr>
          <w:rFonts w:ascii="Times New Roman" w:hAnsi="Times New Roman" w:cs="Times New Roman"/>
          <w:noProof/>
          <w:sz w:val="28"/>
          <w:szCs w:val="24"/>
        </w:rPr>
        <w:tab/>
        <w:t xml:space="preserve">Patwardhan, B., Saraf, M. N., &amp; David, S. B. (1988). Toxicity of semecarpus anacardium extract. </w:t>
      </w:r>
      <w:r w:rsidRPr="00311558">
        <w:rPr>
          <w:rFonts w:ascii="Times New Roman" w:hAnsi="Times New Roman" w:cs="Times New Roman"/>
          <w:i/>
          <w:iCs/>
          <w:noProof/>
          <w:sz w:val="28"/>
          <w:szCs w:val="24"/>
        </w:rPr>
        <w:t>Ancient science of life</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8</w:t>
      </w:r>
      <w:r w:rsidRPr="00311558">
        <w:rPr>
          <w:rFonts w:ascii="Times New Roman" w:hAnsi="Times New Roman" w:cs="Times New Roman"/>
          <w:noProof/>
          <w:sz w:val="28"/>
          <w:szCs w:val="24"/>
        </w:rPr>
        <w:t>(2), 106–109.</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50. </w:t>
      </w:r>
      <w:r w:rsidRPr="00311558">
        <w:rPr>
          <w:rFonts w:ascii="Times New Roman" w:hAnsi="Times New Roman" w:cs="Times New Roman"/>
          <w:noProof/>
          <w:sz w:val="28"/>
          <w:szCs w:val="24"/>
        </w:rPr>
        <w:tab/>
        <w:t xml:space="preserve">Maurya, S. K., Seth, A., Laloo, D., Singh, N. K., Gautam, D. N. S., &amp; Singh, A. K. (2015). Śodhana: An Ayurvedic process for detoxification and modification of therapeutic activities of poisonous medicinal plants. </w:t>
      </w:r>
      <w:r w:rsidRPr="00311558">
        <w:rPr>
          <w:rFonts w:ascii="Times New Roman" w:hAnsi="Times New Roman" w:cs="Times New Roman"/>
          <w:i/>
          <w:iCs/>
          <w:noProof/>
          <w:sz w:val="28"/>
          <w:szCs w:val="24"/>
        </w:rPr>
        <w:t>Ancient Science of Life</w:t>
      </w:r>
      <w:r w:rsidRPr="00311558">
        <w:rPr>
          <w:rFonts w:ascii="Times New Roman" w:hAnsi="Times New Roman" w:cs="Times New Roman"/>
          <w:noProof/>
          <w:sz w:val="28"/>
          <w:szCs w:val="24"/>
        </w:rPr>
        <w:t>. India. doi:10.4103/0257-7941.160862</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51. </w:t>
      </w:r>
      <w:r w:rsidRPr="00311558">
        <w:rPr>
          <w:rFonts w:ascii="Times New Roman" w:hAnsi="Times New Roman" w:cs="Times New Roman"/>
          <w:noProof/>
          <w:sz w:val="28"/>
          <w:szCs w:val="24"/>
        </w:rPr>
        <w:tab/>
        <w:t xml:space="preserve">Mishra, S., Tamta, A. K., Sarikhani, M., Desingu, P. A., Kizkekra, S. M., Pandit, A. S., … Sundaresan, N. R. (2018). Subcutaneous Ehrlich Ascites Carcinoma mice model for studying cancer-induced cardiomyopathy. </w:t>
      </w:r>
      <w:r w:rsidRPr="00311558">
        <w:rPr>
          <w:rFonts w:ascii="Times New Roman" w:hAnsi="Times New Roman" w:cs="Times New Roman"/>
          <w:i/>
          <w:iCs/>
          <w:noProof/>
          <w:sz w:val="28"/>
          <w:szCs w:val="24"/>
        </w:rPr>
        <w:t>Scientific reports</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8</w:t>
      </w:r>
      <w:r w:rsidRPr="00311558">
        <w:rPr>
          <w:rFonts w:ascii="Times New Roman" w:hAnsi="Times New Roman" w:cs="Times New Roman"/>
          <w:noProof/>
          <w:sz w:val="28"/>
          <w:szCs w:val="24"/>
        </w:rPr>
        <w:t>(1), 5599. doi:10.1038/s41598-018-23669-9</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52. </w:t>
      </w:r>
      <w:r w:rsidRPr="00311558">
        <w:rPr>
          <w:rFonts w:ascii="Times New Roman" w:hAnsi="Times New Roman" w:cs="Times New Roman"/>
          <w:noProof/>
          <w:sz w:val="28"/>
          <w:szCs w:val="24"/>
        </w:rPr>
        <w:tab/>
        <w:t xml:space="preserve">Ezzat, S. M., Shouman, S. A., Elkhoely, A., Attia, Y. M., Elsesy, M. S., El Senousy, A. S., … El Tanbouly, N. (2018). Anticancer potentiality of lignan rich fraction of six Flaxseed cultivars. </w:t>
      </w:r>
      <w:r w:rsidRPr="00311558">
        <w:rPr>
          <w:rFonts w:ascii="Times New Roman" w:hAnsi="Times New Roman" w:cs="Times New Roman"/>
          <w:i/>
          <w:iCs/>
          <w:noProof/>
          <w:sz w:val="28"/>
          <w:szCs w:val="24"/>
        </w:rPr>
        <w:t>Scientific Reports</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8</w:t>
      </w:r>
      <w:r w:rsidRPr="00311558">
        <w:rPr>
          <w:rFonts w:ascii="Times New Roman" w:hAnsi="Times New Roman" w:cs="Times New Roman"/>
          <w:noProof/>
          <w:sz w:val="28"/>
          <w:szCs w:val="24"/>
        </w:rPr>
        <w:t>(1), 544. doi:10.1038/s41598-017-18944-0</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53. </w:t>
      </w:r>
      <w:r w:rsidRPr="00311558">
        <w:rPr>
          <w:rFonts w:ascii="Times New Roman" w:hAnsi="Times New Roman" w:cs="Times New Roman"/>
          <w:noProof/>
          <w:sz w:val="28"/>
          <w:szCs w:val="24"/>
        </w:rPr>
        <w:tab/>
        <w:t xml:space="preserve">Srivastava, M., Hegde, M., Chiruvella, K. K., Koroth, J., Bhattacharya, S., Choudhary, B., &amp; Raghavan, S. C. (2014). Sapodilla plum (Achras sapota) induces apoptosis in cancer cell lines and inhibits tumor progression in mice. </w:t>
      </w:r>
      <w:r w:rsidRPr="00311558">
        <w:rPr>
          <w:rFonts w:ascii="Times New Roman" w:hAnsi="Times New Roman" w:cs="Times New Roman"/>
          <w:i/>
          <w:iCs/>
          <w:noProof/>
          <w:sz w:val="28"/>
          <w:szCs w:val="24"/>
        </w:rPr>
        <w:t>Scientific reports</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4</w:t>
      </w:r>
      <w:r w:rsidRPr="00311558">
        <w:rPr>
          <w:rFonts w:ascii="Times New Roman" w:hAnsi="Times New Roman" w:cs="Times New Roman"/>
          <w:noProof/>
          <w:sz w:val="28"/>
          <w:szCs w:val="24"/>
        </w:rPr>
        <w:t>, 6147. doi:10.1038/srep06147</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54. </w:t>
      </w:r>
      <w:r w:rsidRPr="00311558">
        <w:rPr>
          <w:rFonts w:ascii="Times New Roman" w:hAnsi="Times New Roman" w:cs="Times New Roman"/>
          <w:noProof/>
          <w:sz w:val="28"/>
          <w:szCs w:val="24"/>
        </w:rPr>
        <w:tab/>
        <w:t xml:space="preserve">Sreeja, P. S., Arunachalam, K., Martins, D. T. de O., Lima, J. C. da S., Balogun, S. O., Pavan, E., … Parimelazhagan, T. (2018). Sphenodesme involucrata var. paniculata (C.B. Clarke) Munir.: Chemical characterization, anti-nociceptive and anti-inflammatory activities of methanol extract of leaves. </w:t>
      </w:r>
      <w:r w:rsidRPr="00311558">
        <w:rPr>
          <w:rFonts w:ascii="Times New Roman" w:hAnsi="Times New Roman" w:cs="Times New Roman"/>
          <w:i/>
          <w:iCs/>
          <w:noProof/>
          <w:sz w:val="28"/>
          <w:szCs w:val="24"/>
        </w:rPr>
        <w:t>Journal of ethnopharmacology</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225</w:t>
      </w:r>
      <w:r w:rsidRPr="00311558">
        <w:rPr>
          <w:rFonts w:ascii="Times New Roman" w:hAnsi="Times New Roman" w:cs="Times New Roman"/>
          <w:noProof/>
          <w:sz w:val="28"/>
          <w:szCs w:val="24"/>
        </w:rPr>
        <w:t xml:space="preserve">, 71–80. </w:t>
      </w:r>
      <w:r w:rsidRPr="00311558">
        <w:rPr>
          <w:rFonts w:ascii="Times New Roman" w:hAnsi="Times New Roman" w:cs="Times New Roman"/>
          <w:noProof/>
          <w:sz w:val="28"/>
          <w:szCs w:val="24"/>
        </w:rPr>
        <w:lastRenderedPageBreak/>
        <w:t>doi:10.1016/j.jep.2018.06.035</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szCs w:val="24"/>
        </w:rPr>
      </w:pPr>
      <w:r w:rsidRPr="00311558">
        <w:rPr>
          <w:rFonts w:ascii="Times New Roman" w:hAnsi="Times New Roman" w:cs="Times New Roman"/>
          <w:noProof/>
          <w:sz w:val="28"/>
          <w:szCs w:val="24"/>
        </w:rPr>
        <w:t xml:space="preserve">55. </w:t>
      </w:r>
      <w:r w:rsidRPr="00311558">
        <w:rPr>
          <w:rFonts w:ascii="Times New Roman" w:hAnsi="Times New Roman" w:cs="Times New Roman"/>
          <w:noProof/>
          <w:sz w:val="28"/>
          <w:szCs w:val="24"/>
        </w:rPr>
        <w:tab/>
        <w:t xml:space="preserve">Amelo, W., Nagpal, P., &amp; Makonnen, E. (2014). Antiplasmodial activity of solvent fractions of methanolic root extract of Dodonaea angustifolia in Plasmodium berghei infected mice. </w:t>
      </w:r>
      <w:r w:rsidRPr="00311558">
        <w:rPr>
          <w:rFonts w:ascii="Times New Roman" w:hAnsi="Times New Roman" w:cs="Times New Roman"/>
          <w:i/>
          <w:iCs/>
          <w:noProof/>
          <w:sz w:val="28"/>
          <w:szCs w:val="24"/>
        </w:rPr>
        <w:t>BMC complementary and alternative medicine</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14</w:t>
      </w:r>
      <w:r w:rsidRPr="00311558">
        <w:rPr>
          <w:rFonts w:ascii="Times New Roman" w:hAnsi="Times New Roman" w:cs="Times New Roman"/>
          <w:noProof/>
          <w:sz w:val="28"/>
          <w:szCs w:val="24"/>
        </w:rPr>
        <w:t>, 462. doi:10.1186/1472-6882-14-462</w:t>
      </w:r>
    </w:p>
    <w:p w:rsidR="000F0BC6" w:rsidRPr="00311558" w:rsidRDefault="000F0BC6" w:rsidP="000F0BC6">
      <w:pPr>
        <w:widowControl w:val="0"/>
        <w:autoSpaceDE w:val="0"/>
        <w:autoSpaceDN w:val="0"/>
        <w:adjustRightInd w:val="0"/>
        <w:spacing w:line="240" w:lineRule="auto"/>
        <w:ind w:left="640" w:hanging="640"/>
        <w:rPr>
          <w:rFonts w:ascii="Times New Roman" w:hAnsi="Times New Roman" w:cs="Times New Roman"/>
          <w:noProof/>
          <w:sz w:val="28"/>
        </w:rPr>
      </w:pPr>
      <w:r w:rsidRPr="00311558">
        <w:rPr>
          <w:rFonts w:ascii="Times New Roman" w:hAnsi="Times New Roman" w:cs="Times New Roman"/>
          <w:noProof/>
          <w:sz w:val="28"/>
          <w:szCs w:val="24"/>
        </w:rPr>
        <w:t xml:space="preserve">56. </w:t>
      </w:r>
      <w:r w:rsidRPr="00311558">
        <w:rPr>
          <w:rFonts w:ascii="Times New Roman" w:hAnsi="Times New Roman" w:cs="Times New Roman"/>
          <w:noProof/>
          <w:sz w:val="28"/>
          <w:szCs w:val="24"/>
        </w:rPr>
        <w:tab/>
        <w:t xml:space="preserve">Bhattacharjee, A., Basu, A., Biswas, J., Sen, T., &amp; Bhattacharya, S. (2017). Chemoprotective and chemosensitizing properties of selenium nanoparticle (Nano-Se) during adjuvant therapy with cyclophosphamide in tumor-bearing mice. </w:t>
      </w:r>
      <w:r w:rsidRPr="00311558">
        <w:rPr>
          <w:rFonts w:ascii="Times New Roman" w:hAnsi="Times New Roman" w:cs="Times New Roman"/>
          <w:i/>
          <w:iCs/>
          <w:noProof/>
          <w:sz w:val="28"/>
          <w:szCs w:val="24"/>
        </w:rPr>
        <w:t>Molecular and cellular biochemistry</w:t>
      </w:r>
      <w:r w:rsidRPr="00311558">
        <w:rPr>
          <w:rFonts w:ascii="Times New Roman" w:hAnsi="Times New Roman" w:cs="Times New Roman"/>
          <w:noProof/>
          <w:sz w:val="28"/>
          <w:szCs w:val="24"/>
        </w:rPr>
        <w:t xml:space="preserve">, </w:t>
      </w:r>
      <w:r w:rsidRPr="00311558">
        <w:rPr>
          <w:rFonts w:ascii="Times New Roman" w:hAnsi="Times New Roman" w:cs="Times New Roman"/>
          <w:i/>
          <w:iCs/>
          <w:noProof/>
          <w:sz w:val="28"/>
          <w:szCs w:val="24"/>
        </w:rPr>
        <w:t>424</w:t>
      </w:r>
      <w:r w:rsidRPr="00311558">
        <w:rPr>
          <w:rFonts w:ascii="Times New Roman" w:hAnsi="Times New Roman" w:cs="Times New Roman"/>
          <w:noProof/>
          <w:sz w:val="28"/>
          <w:szCs w:val="24"/>
        </w:rPr>
        <w:t>(1–2), 13–33. doi:10.1007/s11010-016-2839-2</w:t>
      </w:r>
    </w:p>
    <w:p w:rsidR="000F0BC6" w:rsidRDefault="000F0BC6" w:rsidP="000F0BC6">
      <w:pPr>
        <w:widowControl w:val="0"/>
        <w:autoSpaceDE w:val="0"/>
        <w:autoSpaceDN w:val="0"/>
        <w:adjustRightInd w:val="0"/>
        <w:spacing w:line="240" w:lineRule="auto"/>
        <w:ind w:left="640" w:hanging="640"/>
        <w:rPr>
          <w:rFonts w:ascii="Times New Roman" w:hAnsi="Times New Roman" w:cs="Times New Roman"/>
          <w:sz w:val="28"/>
        </w:rPr>
      </w:pPr>
      <w:r>
        <w:rPr>
          <w:rFonts w:ascii="Times New Roman" w:hAnsi="Times New Roman" w:cs="Times New Roman"/>
          <w:sz w:val="28"/>
        </w:rPr>
        <w:fldChar w:fldCharType="end"/>
      </w:r>
    </w:p>
    <w:p w:rsidR="000F0BC6" w:rsidRDefault="000F0BC6" w:rsidP="000F0BC6">
      <w:pPr>
        <w:spacing w:line="240" w:lineRule="auto"/>
        <w:jc w:val="both"/>
        <w:rPr>
          <w:rFonts w:ascii="Times New Roman" w:hAnsi="Times New Roman" w:cs="Times New Roman"/>
          <w:sz w:val="28"/>
        </w:rPr>
      </w:pPr>
    </w:p>
    <w:p w:rsidR="000F0BC6" w:rsidRDefault="000F0BC6" w:rsidP="000F0BC6">
      <w:pPr>
        <w:rPr>
          <w:rFonts w:ascii="Times New Roman" w:hAnsi="Times New Roman" w:cs="Times New Roman"/>
          <w:sz w:val="28"/>
        </w:rPr>
      </w:pPr>
      <w:r>
        <w:rPr>
          <w:rFonts w:ascii="Times New Roman" w:hAnsi="Times New Roman" w:cs="Times New Roman"/>
          <w:sz w:val="28"/>
        </w:rPr>
        <w:br w:type="page"/>
      </w:r>
    </w:p>
    <w:p w:rsidR="000F0BC6" w:rsidRDefault="000F0BC6" w:rsidP="000F0BC6">
      <w:pPr>
        <w:rPr>
          <w:rFonts w:ascii="Times New Roman" w:hAnsi="Times New Roman" w:cs="Times New Roman"/>
          <w:sz w:val="28"/>
        </w:rPr>
      </w:pPr>
    </w:p>
    <w:p w:rsidR="000F0BC6" w:rsidRDefault="000F0BC6" w:rsidP="000F0BC6">
      <w:pPr>
        <w:jc w:val="center"/>
        <w:rPr>
          <w:rFonts w:ascii="Times New Roman" w:hAnsi="Times New Roman" w:cs="Times New Roman"/>
          <w:sz w:val="28"/>
        </w:rPr>
      </w:pPr>
      <w:r>
        <w:rPr>
          <w:rFonts w:ascii="Times New Roman" w:hAnsi="Times New Roman" w:cs="Times New Roman"/>
          <w:noProof/>
          <w:sz w:val="28"/>
        </w:rPr>
        <w:drawing>
          <wp:inline distT="0" distB="0" distL="0" distR="0" wp14:anchorId="1F9B7D24" wp14:editId="2B1C9E7A">
            <wp:extent cx="5943600" cy="3614225"/>
            <wp:effectExtent l="19050" t="0" r="0" b="0"/>
            <wp:docPr id="7" name="Picture 7" descr="C:\Users\lenovo\Desktop\desktop\My Pending Work\3_Bhallatak Manuscript\Final Article\Sup 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desktop\My Pending Work\3_Bhallatak Manuscript\Final Article\Sup Fig1.tif"/>
                    <pic:cNvPicPr>
                      <a:picLocks noChangeAspect="1" noChangeArrowheads="1"/>
                    </pic:cNvPicPr>
                  </pic:nvPicPr>
                  <pic:blipFill>
                    <a:blip r:embed="rId4" cstate="print"/>
                    <a:srcRect/>
                    <a:stretch>
                      <a:fillRect/>
                    </a:stretch>
                  </pic:blipFill>
                  <pic:spPr bwMode="auto">
                    <a:xfrm>
                      <a:off x="0" y="0"/>
                      <a:ext cx="5943600" cy="3614225"/>
                    </a:xfrm>
                    <a:prstGeom prst="rect">
                      <a:avLst/>
                    </a:prstGeom>
                    <a:noFill/>
                    <a:ln w="9525">
                      <a:noFill/>
                      <a:miter lim="800000"/>
                      <a:headEnd/>
                      <a:tailEnd/>
                    </a:ln>
                  </pic:spPr>
                </pic:pic>
              </a:graphicData>
            </a:graphic>
          </wp:inline>
        </w:drawing>
      </w:r>
    </w:p>
    <w:p w:rsidR="000F0BC6" w:rsidRDefault="000F0BC6" w:rsidP="000F0BC6">
      <w:pPr>
        <w:rPr>
          <w:rFonts w:ascii="Times New Roman" w:hAnsi="Times New Roman" w:cs="Times New Roman"/>
          <w:sz w:val="28"/>
        </w:rPr>
      </w:pPr>
      <w:r w:rsidRPr="00D3746A">
        <w:rPr>
          <w:rFonts w:ascii="Times New Roman" w:hAnsi="Times New Roman" w:cs="Times New Roman"/>
          <w:b/>
          <w:bCs/>
          <w:sz w:val="28"/>
        </w:rPr>
        <w:t>Supplement figure 1</w:t>
      </w:r>
      <w:r w:rsidRPr="00D95906">
        <w:rPr>
          <w:rFonts w:ascii="Times New Roman" w:hAnsi="Times New Roman" w:cs="Times New Roman"/>
          <w:sz w:val="28"/>
        </w:rPr>
        <w:t xml:space="preserve">: </w:t>
      </w:r>
      <w:r>
        <w:rPr>
          <w:rFonts w:ascii="Times New Roman" w:hAnsi="Times New Roman" w:cs="Times New Roman"/>
          <w:sz w:val="28"/>
        </w:rPr>
        <w:t xml:space="preserve">the </w:t>
      </w:r>
      <w:r w:rsidRPr="00D95906">
        <w:rPr>
          <w:rFonts w:ascii="Times New Roman" w:hAnsi="Times New Roman" w:cs="Times New Roman"/>
          <w:sz w:val="28"/>
        </w:rPr>
        <w:t>cyt</w:t>
      </w:r>
      <w:r>
        <w:rPr>
          <w:rFonts w:ascii="Times New Roman" w:hAnsi="Times New Roman" w:cs="Times New Roman"/>
          <w:sz w:val="28"/>
        </w:rPr>
        <w:t>otoxicity of root, bark, leave and  fruits in cancer cells (MCF-7) and normal cells (L929).</w:t>
      </w:r>
    </w:p>
    <w:p w:rsidR="000F0BC6" w:rsidRDefault="000F0BC6" w:rsidP="000F0BC6">
      <w:pPr>
        <w:rPr>
          <w:rFonts w:ascii="Times New Roman" w:hAnsi="Times New Roman" w:cs="Times New Roman"/>
          <w:sz w:val="28"/>
        </w:rPr>
      </w:pPr>
    </w:p>
    <w:p w:rsidR="000F0BC6" w:rsidRDefault="000F0BC6" w:rsidP="000F0BC6">
      <w:pPr>
        <w:rPr>
          <w:rFonts w:ascii="Times New Roman" w:hAnsi="Times New Roman" w:cs="Times New Roman"/>
          <w:sz w:val="28"/>
        </w:rPr>
      </w:pPr>
    </w:p>
    <w:p w:rsidR="000F0BC6" w:rsidRDefault="000F0BC6" w:rsidP="000F0BC6">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03F88458" wp14:editId="6FF9C529">
            <wp:extent cx="5943600" cy="4098443"/>
            <wp:effectExtent l="19050" t="0" r="0" b="0"/>
            <wp:docPr id="8" name="Picture 8" descr="C:\Users\lenovo\Desktop\desktop\My Pending Work\3_Bhallatak Manuscript\Final Article\Sup 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desktop\My Pending Work\3_Bhallatak Manuscript\Final Article\Sup Fig2.tif"/>
                    <pic:cNvPicPr>
                      <a:picLocks noChangeAspect="1" noChangeArrowheads="1"/>
                    </pic:cNvPicPr>
                  </pic:nvPicPr>
                  <pic:blipFill>
                    <a:blip r:embed="rId5" cstate="print"/>
                    <a:srcRect/>
                    <a:stretch>
                      <a:fillRect/>
                    </a:stretch>
                  </pic:blipFill>
                  <pic:spPr bwMode="auto">
                    <a:xfrm>
                      <a:off x="0" y="0"/>
                      <a:ext cx="5943600" cy="4098443"/>
                    </a:xfrm>
                    <a:prstGeom prst="rect">
                      <a:avLst/>
                    </a:prstGeom>
                    <a:noFill/>
                    <a:ln w="9525">
                      <a:noFill/>
                      <a:miter lim="800000"/>
                      <a:headEnd/>
                      <a:tailEnd/>
                    </a:ln>
                  </pic:spPr>
                </pic:pic>
              </a:graphicData>
            </a:graphic>
          </wp:inline>
        </w:drawing>
      </w:r>
    </w:p>
    <w:p w:rsidR="000F0BC6" w:rsidRDefault="000F0BC6" w:rsidP="000F0BC6">
      <w:pPr>
        <w:rPr>
          <w:rFonts w:ascii="Times New Roman" w:hAnsi="Times New Roman" w:cs="Times New Roman"/>
          <w:sz w:val="28"/>
        </w:rPr>
      </w:pPr>
      <w:r w:rsidRPr="00D3746A">
        <w:rPr>
          <w:rFonts w:ascii="Times New Roman" w:hAnsi="Times New Roman" w:cs="Times New Roman"/>
          <w:b/>
          <w:bCs/>
          <w:sz w:val="28"/>
        </w:rPr>
        <w:t>Supplement fig</w:t>
      </w:r>
      <w:r>
        <w:rPr>
          <w:rFonts w:ascii="Times New Roman" w:hAnsi="Times New Roman" w:cs="Times New Roman"/>
          <w:b/>
          <w:bCs/>
          <w:sz w:val="28"/>
        </w:rPr>
        <w:t>ure</w:t>
      </w:r>
      <w:r>
        <w:rPr>
          <w:rFonts w:ascii="Times New Roman" w:hAnsi="Times New Roman" w:cs="Times New Roman"/>
          <w:sz w:val="28"/>
        </w:rPr>
        <w:t xml:space="preserve"> </w:t>
      </w:r>
      <w:r w:rsidRPr="00D3746A">
        <w:rPr>
          <w:rFonts w:ascii="Times New Roman" w:hAnsi="Times New Roman" w:cs="Times New Roman"/>
          <w:b/>
          <w:bCs/>
          <w:sz w:val="28"/>
        </w:rPr>
        <w:t>2</w:t>
      </w:r>
      <w:r>
        <w:rPr>
          <w:rFonts w:ascii="Times New Roman" w:hAnsi="Times New Roman" w:cs="Times New Roman"/>
          <w:sz w:val="28"/>
        </w:rPr>
        <w:t>: structure of the identified compounds.</w:t>
      </w:r>
    </w:p>
    <w:p w:rsidR="000F0BC6" w:rsidRDefault="000F0BC6" w:rsidP="000F0BC6">
      <w:pPr>
        <w:rPr>
          <w:rFonts w:ascii="Times New Roman" w:hAnsi="Times New Roman" w:cs="Times New Roman"/>
          <w:sz w:val="28"/>
        </w:rPr>
      </w:pPr>
      <w:bookmarkStart w:id="0" w:name="_GoBack"/>
      <w:bookmarkEnd w:id="0"/>
    </w:p>
    <w:p w:rsidR="000F0BC6" w:rsidRDefault="000F0BC6" w:rsidP="000F0BC6">
      <w:pPr>
        <w:rPr>
          <w:rFonts w:ascii="Times New Roman" w:hAnsi="Times New Roman" w:cs="Times New Roman"/>
          <w:sz w:val="28"/>
        </w:rPr>
      </w:pPr>
    </w:p>
    <w:p w:rsidR="000F0BC6" w:rsidRDefault="000F0BC6" w:rsidP="000F0BC6">
      <w:pPr>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5C0DA1A4" wp14:editId="11FEF236">
            <wp:extent cx="5943600" cy="3228113"/>
            <wp:effectExtent l="19050" t="0" r="0" b="0"/>
            <wp:docPr id="9" name="Picture 9" descr="C:\Users\lenovo\Desktop\desktop\My Pending Work\3_Bhallatak Manuscript\Final Article\Sup 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desktop\My Pending Work\3_Bhallatak Manuscript\Final Article\Sup Fig3.tif"/>
                    <pic:cNvPicPr>
                      <a:picLocks noChangeAspect="1" noChangeArrowheads="1"/>
                    </pic:cNvPicPr>
                  </pic:nvPicPr>
                  <pic:blipFill>
                    <a:blip r:embed="rId6"/>
                    <a:srcRect/>
                    <a:stretch>
                      <a:fillRect/>
                    </a:stretch>
                  </pic:blipFill>
                  <pic:spPr bwMode="auto">
                    <a:xfrm>
                      <a:off x="0" y="0"/>
                      <a:ext cx="5943600" cy="3228113"/>
                    </a:xfrm>
                    <a:prstGeom prst="rect">
                      <a:avLst/>
                    </a:prstGeom>
                    <a:noFill/>
                    <a:ln w="9525">
                      <a:noFill/>
                      <a:miter lim="800000"/>
                      <a:headEnd/>
                      <a:tailEnd/>
                    </a:ln>
                  </pic:spPr>
                </pic:pic>
              </a:graphicData>
            </a:graphic>
          </wp:inline>
        </w:drawing>
      </w:r>
    </w:p>
    <w:p w:rsidR="000F0BC6" w:rsidRDefault="000F0BC6" w:rsidP="000F0BC6">
      <w:pPr>
        <w:rPr>
          <w:rFonts w:ascii="Times New Roman" w:hAnsi="Times New Roman" w:cs="Times New Roman"/>
          <w:sz w:val="28"/>
        </w:rPr>
      </w:pPr>
      <w:r w:rsidRPr="00D3746A">
        <w:rPr>
          <w:rFonts w:ascii="Times New Roman" w:hAnsi="Times New Roman" w:cs="Times New Roman"/>
          <w:b/>
          <w:bCs/>
          <w:sz w:val="28"/>
        </w:rPr>
        <w:t>Supplement fig</w:t>
      </w:r>
      <w:r>
        <w:rPr>
          <w:rFonts w:ascii="Times New Roman" w:hAnsi="Times New Roman" w:cs="Times New Roman"/>
          <w:b/>
          <w:bCs/>
          <w:sz w:val="28"/>
        </w:rPr>
        <w:t>ure</w:t>
      </w:r>
      <w:r>
        <w:rPr>
          <w:rFonts w:ascii="Times New Roman" w:hAnsi="Times New Roman" w:cs="Times New Roman"/>
          <w:sz w:val="28"/>
        </w:rPr>
        <w:t xml:space="preserve"> </w:t>
      </w:r>
      <w:r w:rsidRPr="00D3746A">
        <w:rPr>
          <w:rFonts w:ascii="Times New Roman" w:hAnsi="Times New Roman" w:cs="Times New Roman"/>
          <w:b/>
          <w:bCs/>
          <w:sz w:val="28"/>
        </w:rPr>
        <w:t>3</w:t>
      </w:r>
      <w:r w:rsidRPr="00D95906">
        <w:rPr>
          <w:rFonts w:ascii="Times New Roman" w:hAnsi="Times New Roman" w:cs="Times New Roman"/>
          <w:sz w:val="28"/>
        </w:rPr>
        <w:t xml:space="preserve">: </w:t>
      </w:r>
      <w:r>
        <w:rPr>
          <w:rFonts w:ascii="Times New Roman" w:hAnsi="Times New Roman" w:cs="Times New Roman"/>
          <w:sz w:val="28"/>
        </w:rPr>
        <w:t xml:space="preserve">the </w:t>
      </w:r>
      <w:r w:rsidRPr="00D95906">
        <w:rPr>
          <w:rFonts w:ascii="Times New Roman" w:hAnsi="Times New Roman" w:cs="Times New Roman"/>
          <w:sz w:val="28"/>
        </w:rPr>
        <w:t>cytotoxicity of</w:t>
      </w:r>
      <w:r>
        <w:rPr>
          <w:rFonts w:ascii="Times New Roman" w:hAnsi="Times New Roman" w:cs="Times New Roman"/>
          <w:sz w:val="28"/>
        </w:rPr>
        <w:t xml:space="preserve"> PTX and BLEA in MCF-7 cells.</w:t>
      </w:r>
    </w:p>
    <w:p w:rsidR="000F0BC6" w:rsidRDefault="000F0BC6" w:rsidP="000F0BC6">
      <w:pPr>
        <w:rPr>
          <w:rFonts w:ascii="Times New Roman" w:hAnsi="Times New Roman" w:cs="Times New Roman"/>
          <w:sz w:val="28"/>
        </w:rPr>
      </w:pPr>
    </w:p>
    <w:p w:rsidR="000F0BC6" w:rsidRDefault="000F0BC6" w:rsidP="000F0BC6">
      <w:pPr>
        <w:rPr>
          <w:rFonts w:ascii="Times New Roman" w:hAnsi="Times New Roman" w:cs="Times New Roman"/>
          <w:sz w:val="28"/>
        </w:rPr>
      </w:pPr>
      <w:r>
        <w:rPr>
          <w:rFonts w:ascii="Times New Roman" w:hAnsi="Times New Roman" w:cs="Times New Roman"/>
          <w:noProof/>
          <w:sz w:val="28"/>
        </w:rPr>
        <w:drawing>
          <wp:inline distT="0" distB="0" distL="0" distR="0" wp14:anchorId="7C9ECF17" wp14:editId="737B9E83">
            <wp:extent cx="4880610" cy="3211195"/>
            <wp:effectExtent l="19050" t="0" r="0" b="0"/>
            <wp:docPr id="10" name="Picture 10" descr="C:\Users\lenovo\Desktop\desktop\My Pending Work\3_Bhallatak Manuscript\Final Article\Sup 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desktop\My Pending Work\3_Bhallatak Manuscript\Final Article\Sup Fig4.tif"/>
                    <pic:cNvPicPr>
                      <a:picLocks noChangeAspect="1" noChangeArrowheads="1"/>
                    </pic:cNvPicPr>
                  </pic:nvPicPr>
                  <pic:blipFill>
                    <a:blip r:embed="rId7"/>
                    <a:srcRect/>
                    <a:stretch>
                      <a:fillRect/>
                    </a:stretch>
                  </pic:blipFill>
                  <pic:spPr bwMode="auto">
                    <a:xfrm>
                      <a:off x="0" y="0"/>
                      <a:ext cx="4880610" cy="3211195"/>
                    </a:xfrm>
                    <a:prstGeom prst="rect">
                      <a:avLst/>
                    </a:prstGeom>
                    <a:noFill/>
                    <a:ln w="9525">
                      <a:noFill/>
                      <a:miter lim="800000"/>
                      <a:headEnd/>
                      <a:tailEnd/>
                    </a:ln>
                  </pic:spPr>
                </pic:pic>
              </a:graphicData>
            </a:graphic>
          </wp:inline>
        </w:drawing>
      </w:r>
    </w:p>
    <w:p w:rsidR="000F0BC6" w:rsidRDefault="000F0BC6" w:rsidP="000F0BC6">
      <w:pPr>
        <w:jc w:val="both"/>
        <w:rPr>
          <w:rFonts w:ascii="Times New Roman" w:hAnsi="Times New Roman" w:cs="Times New Roman"/>
          <w:sz w:val="28"/>
        </w:rPr>
      </w:pPr>
      <w:r w:rsidRPr="00D3746A">
        <w:rPr>
          <w:rFonts w:ascii="Times New Roman" w:hAnsi="Times New Roman" w:cs="Times New Roman"/>
          <w:b/>
          <w:bCs/>
          <w:sz w:val="28"/>
        </w:rPr>
        <w:t>Supplement fig</w:t>
      </w:r>
      <w:r>
        <w:rPr>
          <w:rFonts w:ascii="Times New Roman" w:hAnsi="Times New Roman" w:cs="Times New Roman"/>
          <w:b/>
          <w:bCs/>
          <w:sz w:val="28"/>
        </w:rPr>
        <w:t>ure</w:t>
      </w:r>
      <w:r>
        <w:rPr>
          <w:rFonts w:ascii="Times New Roman" w:hAnsi="Times New Roman" w:cs="Times New Roman"/>
          <w:sz w:val="28"/>
        </w:rPr>
        <w:t xml:space="preserve"> </w:t>
      </w:r>
      <w:r w:rsidRPr="00D3746A">
        <w:rPr>
          <w:rFonts w:ascii="Times New Roman" w:hAnsi="Times New Roman" w:cs="Times New Roman"/>
          <w:b/>
          <w:bCs/>
          <w:sz w:val="28"/>
        </w:rPr>
        <w:t>4</w:t>
      </w:r>
      <w:r>
        <w:rPr>
          <w:rFonts w:ascii="Times New Roman" w:hAnsi="Times New Roman" w:cs="Times New Roman"/>
          <w:sz w:val="28"/>
        </w:rPr>
        <w:t>: Histological evaluation of toxicity of BLEA in different vital organs. HE staining was done to visualize the cellular architecture of different tissues of control and treated groups.</w:t>
      </w:r>
    </w:p>
    <w:p w:rsidR="000F0BC6" w:rsidRDefault="000F0BC6" w:rsidP="000F0BC6">
      <w:pPr>
        <w:jc w:val="center"/>
        <w:rPr>
          <w:rFonts w:ascii="Times New Roman" w:hAnsi="Times New Roman" w:cs="Times New Roman"/>
          <w:sz w:val="28"/>
        </w:rPr>
      </w:pPr>
    </w:p>
    <w:p w:rsidR="000F0BC6" w:rsidRDefault="000F0BC6" w:rsidP="000F0BC6">
      <w:pPr>
        <w:jc w:val="center"/>
        <w:rPr>
          <w:rFonts w:ascii="Times New Roman" w:hAnsi="Times New Roman" w:cs="Times New Roman"/>
          <w:sz w:val="28"/>
        </w:rPr>
      </w:pPr>
      <w:r>
        <w:rPr>
          <w:rFonts w:ascii="Times New Roman" w:hAnsi="Times New Roman" w:cs="Times New Roman"/>
          <w:noProof/>
          <w:sz w:val="28"/>
        </w:rPr>
        <w:drawing>
          <wp:inline distT="0" distB="0" distL="0" distR="0" wp14:anchorId="687CFCDA" wp14:editId="1DFD1B60">
            <wp:extent cx="5943600" cy="3753973"/>
            <wp:effectExtent l="19050" t="0" r="0" b="0"/>
            <wp:docPr id="11" name="Picture 11" descr="C:\Users\lenovo\Desktop\desktop\My Pending Work\3_Bhallatak Manuscript\Final Article\Sup 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desktop\My Pending Work\3_Bhallatak Manuscript\Final Article\Sup Fig5.tif"/>
                    <pic:cNvPicPr>
                      <a:picLocks noChangeAspect="1" noChangeArrowheads="1"/>
                    </pic:cNvPicPr>
                  </pic:nvPicPr>
                  <pic:blipFill>
                    <a:blip r:embed="rId8" cstate="print"/>
                    <a:srcRect/>
                    <a:stretch>
                      <a:fillRect/>
                    </a:stretch>
                  </pic:blipFill>
                  <pic:spPr bwMode="auto">
                    <a:xfrm>
                      <a:off x="0" y="0"/>
                      <a:ext cx="5943600" cy="3753973"/>
                    </a:xfrm>
                    <a:prstGeom prst="rect">
                      <a:avLst/>
                    </a:prstGeom>
                    <a:noFill/>
                    <a:ln w="9525">
                      <a:noFill/>
                      <a:miter lim="800000"/>
                      <a:headEnd/>
                      <a:tailEnd/>
                    </a:ln>
                  </pic:spPr>
                </pic:pic>
              </a:graphicData>
            </a:graphic>
          </wp:inline>
        </w:drawing>
      </w:r>
    </w:p>
    <w:p w:rsidR="000F0BC6" w:rsidRDefault="000F0BC6" w:rsidP="000F0BC6">
      <w:pPr>
        <w:rPr>
          <w:rFonts w:ascii="Times New Roman" w:hAnsi="Times New Roman" w:cs="Times New Roman"/>
          <w:sz w:val="28"/>
        </w:rPr>
      </w:pPr>
      <w:r w:rsidRPr="00D3746A">
        <w:rPr>
          <w:rFonts w:ascii="Times New Roman" w:hAnsi="Times New Roman" w:cs="Times New Roman"/>
          <w:b/>
          <w:bCs/>
          <w:sz w:val="28"/>
        </w:rPr>
        <w:t>Supplement fig</w:t>
      </w:r>
      <w:r>
        <w:rPr>
          <w:rFonts w:ascii="Times New Roman" w:hAnsi="Times New Roman" w:cs="Times New Roman"/>
          <w:b/>
          <w:bCs/>
          <w:sz w:val="28"/>
        </w:rPr>
        <w:t>ure</w:t>
      </w:r>
      <w:r>
        <w:rPr>
          <w:rFonts w:ascii="Times New Roman" w:hAnsi="Times New Roman" w:cs="Times New Roman"/>
          <w:sz w:val="28"/>
        </w:rPr>
        <w:t xml:space="preserve"> </w:t>
      </w:r>
      <w:r w:rsidRPr="00D3746A">
        <w:rPr>
          <w:rFonts w:ascii="Times New Roman" w:hAnsi="Times New Roman" w:cs="Times New Roman"/>
          <w:b/>
          <w:bCs/>
          <w:sz w:val="28"/>
        </w:rPr>
        <w:t>5</w:t>
      </w:r>
      <w:r>
        <w:rPr>
          <w:rFonts w:ascii="Times New Roman" w:hAnsi="Times New Roman" w:cs="Times New Roman"/>
          <w:sz w:val="28"/>
        </w:rPr>
        <w:t>: Effective dose determination of BLEA using different doses (50, 100 and 200 mg/kg b. wt.) in comparison of control (pilot study).</w:t>
      </w:r>
    </w:p>
    <w:p w:rsidR="000F0BC6" w:rsidRDefault="000F0BC6" w:rsidP="000F0BC6">
      <w:pPr>
        <w:rPr>
          <w:rFonts w:ascii="Times New Roman" w:hAnsi="Times New Roman" w:cs="Times New Roman"/>
          <w:sz w:val="24"/>
        </w:rPr>
      </w:pPr>
    </w:p>
    <w:sectPr w:rsidR="000F0BC6" w:rsidSect="005D13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BC6"/>
    <w:rsid w:val="000F0BC6"/>
    <w:rsid w:val="00B1111D"/>
    <w:rsid w:val="00C253AF"/>
    <w:rsid w:val="00DF5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BD4C2"/>
  <w15:chartTrackingRefBased/>
  <w15:docId w15:val="{FE221F10-F83A-4335-937C-5457AE04D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0BC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F0B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0F0BC6"/>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10"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5441</Words>
  <Characters>31020</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Springer Nature</Company>
  <LinksUpToDate>false</LinksUpToDate>
  <CharactersWithSpaces>36389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Pooja Chavan</dc:creator>
  <cp:keywords/>
  <dc:description/>
  <cp:lastModifiedBy>Pooja Chavan</cp:lastModifiedBy>
  <cp:revision>1</cp:revision>
  <dcterms:created xsi:type="dcterms:W3CDTF">2021-07-16T09:39:00Z</dcterms:created>
  <dcterms:modified xsi:type="dcterms:W3CDTF">2021-07-16T09:40:00Z</dcterms:modified>
</cp:coreProperties>
</file>