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B7F1" w14:textId="06D282EC" w:rsidR="009F3ACD" w:rsidRPr="00CC741D" w:rsidRDefault="004757FD" w:rsidP="009F3ACD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eastAsia="zh-CN"/>
        </w:rPr>
      </w:pPr>
      <w:r w:rsidRPr="00CC741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9F3ACD" w:rsidRPr="00CC74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Phytate exudation by the roots of </w:t>
      </w:r>
      <w:r w:rsidR="009F3ACD" w:rsidRPr="00CC741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Pteris vittata</w:t>
      </w:r>
      <w:r w:rsidR="009F3ACD" w:rsidRPr="00CC741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can</w:t>
      </w:r>
      <w:r w:rsidR="009F3ACD" w:rsidRPr="00CC74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dissolve colloidal FePO</w:t>
      </w:r>
      <w:r w:rsidR="009F3ACD" w:rsidRPr="00CC74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bscript"/>
        </w:rPr>
        <w:t>4</w:t>
      </w:r>
    </w:p>
    <w:p w14:paraId="2EFF89A3" w14:textId="674857C3" w:rsidR="003409F6" w:rsidRPr="00CC741D" w:rsidRDefault="003409F6" w:rsidP="009F3ACD">
      <w:pPr>
        <w:spacing w:line="480" w:lineRule="auto"/>
        <w:jc w:val="center"/>
        <w:rPr>
          <w:rFonts w:ascii="Times New Roman" w:eastAsia="等线" w:hAnsi="Times New Roman" w:cs="Times New Roman"/>
          <w:b/>
          <w:bCs/>
          <w:sz w:val="24"/>
          <w:szCs w:val="24"/>
          <w:lang w:eastAsia="zh-CN"/>
        </w:rPr>
      </w:pPr>
      <w:r w:rsidRPr="00CC741D">
        <w:rPr>
          <w:rFonts w:ascii="Times New Roman" w:eastAsia="等线" w:hAnsi="Times New Roman" w:cs="Times New Roman"/>
          <w:b/>
          <w:bCs/>
          <w:sz w:val="24"/>
          <w:szCs w:val="24"/>
          <w:lang w:eastAsia="zh-CN"/>
        </w:rPr>
        <w:t>Supporting information</w:t>
      </w:r>
    </w:p>
    <w:p w14:paraId="1C50028A" w14:textId="412D0E78" w:rsidR="003409F6" w:rsidRPr="00CC741D" w:rsidRDefault="003409F6" w:rsidP="003409F6">
      <w:pPr>
        <w:widowControl/>
        <w:jc w:val="left"/>
        <w:rPr>
          <w:rFonts w:ascii="Times New Roman" w:eastAsia="等线" w:hAnsi="Times New Roman" w:cs="Times New Roman"/>
          <w:b/>
          <w:bCs/>
          <w:sz w:val="20"/>
          <w:szCs w:val="20"/>
          <w:lang w:eastAsia="zh-CN"/>
        </w:rPr>
      </w:pPr>
    </w:p>
    <w:p w14:paraId="65CDE8B0" w14:textId="5EB4E316" w:rsidR="003409F6" w:rsidRPr="00CC741D" w:rsidRDefault="003409F6" w:rsidP="00677FCB">
      <w:pPr>
        <w:spacing w:line="480" w:lineRule="auto"/>
        <w:rPr>
          <w:rFonts w:ascii="Times New Roman" w:eastAsia="等线" w:hAnsi="Times New Roman" w:cs="Times New Roman"/>
          <w:sz w:val="20"/>
          <w:szCs w:val="20"/>
          <w:lang w:eastAsia="zh-CN"/>
        </w:rPr>
      </w:pPr>
      <w:r w:rsidRPr="00CC741D">
        <w:rPr>
          <w:rFonts w:ascii="Times New Roman" w:eastAsia="等线" w:hAnsi="Times New Roman" w:cs="Times New Roman"/>
          <w:bCs/>
          <w:sz w:val="20"/>
          <w:szCs w:val="20"/>
          <w:lang w:eastAsia="zh-CN"/>
        </w:rPr>
        <w:t xml:space="preserve">Table </w:t>
      </w:r>
      <w:r w:rsidR="002D5F3E" w:rsidRPr="00CC741D">
        <w:rPr>
          <w:rFonts w:ascii="Times New Roman" w:eastAsia="等线" w:hAnsi="Times New Roman" w:cs="Times New Roman"/>
          <w:bCs/>
          <w:sz w:val="20"/>
          <w:szCs w:val="20"/>
          <w:lang w:eastAsia="zh-CN"/>
        </w:rPr>
        <w:t xml:space="preserve">S </w:t>
      </w:r>
      <w:r w:rsidRPr="00CC741D">
        <w:rPr>
          <w:rFonts w:ascii="Times New Roman" w:eastAsia="等线" w:hAnsi="Times New Roman" w:cs="Times New Roman"/>
          <w:bCs/>
          <w:sz w:val="20"/>
          <w:szCs w:val="20"/>
          <w:lang w:eastAsia="zh-CN"/>
        </w:rPr>
        <w:t>1.</w:t>
      </w:r>
      <w:r w:rsidRPr="00CC741D">
        <w:rPr>
          <w:rFonts w:ascii="Times New Roman" w:eastAsia="等线" w:hAnsi="Times New Roman" w:cs="Times New Roman"/>
          <w:sz w:val="20"/>
          <w:szCs w:val="20"/>
          <w:lang w:eastAsia="zh-CN"/>
        </w:rPr>
        <w:t xml:space="preserve"> Chemical composition of the P and Fe free, half-strength Hoagland hydroponic solution</w:t>
      </w:r>
    </w:p>
    <w:p w14:paraId="40E9C948" w14:textId="77777777" w:rsidR="00677FCB" w:rsidRPr="00CC741D" w:rsidRDefault="00677FCB" w:rsidP="00677FCB">
      <w:pPr>
        <w:widowControl/>
        <w:spacing w:line="480" w:lineRule="auto"/>
        <w:jc w:val="left"/>
        <w:rPr>
          <w:rFonts w:ascii="Times New Roman" w:eastAsia="等线" w:hAnsi="Times New Roman" w:cs="Times New Roman"/>
          <w:bCs/>
          <w:kern w:val="0"/>
          <w:sz w:val="20"/>
          <w:szCs w:val="20"/>
        </w:rPr>
      </w:pPr>
      <w:r w:rsidRPr="00CC741D">
        <w:rPr>
          <w:rFonts w:ascii="Times New Roman" w:eastAsia="等线" w:hAnsi="Times New Roman" w:cs="Times New Roman"/>
          <w:bCs/>
          <w:kern w:val="0"/>
          <w:sz w:val="20"/>
          <w:szCs w:val="20"/>
        </w:rPr>
        <w:t>S2.2</w:t>
      </w:r>
      <w:r w:rsidRPr="00CC741D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</w:t>
      </w:r>
      <w:r w:rsidRPr="00CC741D">
        <w:rPr>
          <w:rFonts w:ascii="Times New Roman" w:eastAsia="等线" w:hAnsi="Times New Roman" w:cs="Times New Roman"/>
          <w:bCs/>
          <w:kern w:val="0"/>
          <w:sz w:val="20"/>
          <w:szCs w:val="20"/>
        </w:rPr>
        <w:t>Preparation of colloidal iron phosphate</w:t>
      </w:r>
    </w:p>
    <w:p w14:paraId="2A488008" w14:textId="2FF897F9" w:rsidR="003409F6" w:rsidRPr="00CC741D" w:rsidRDefault="003409F6" w:rsidP="00677FCB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</w:pP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t xml:space="preserve">S 2.3. Organic acid analysis </w:t>
      </w:r>
    </w:p>
    <w:p w14:paraId="307E024F" w14:textId="77777777" w:rsidR="00677FCB" w:rsidRPr="00CC741D" w:rsidRDefault="003409F6" w:rsidP="00677FCB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</w:pP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t xml:space="preserve">S 2.4 Chemical analysis in </w:t>
      </w:r>
      <w:r w:rsidRPr="00CC741D">
        <w:rPr>
          <w:rFonts w:ascii="Times New Roman" w:eastAsia="等线" w:hAnsi="Times New Roman" w:cs="Times New Roman"/>
          <w:bCs/>
          <w:i/>
          <w:noProof/>
          <w:sz w:val="20"/>
          <w:szCs w:val="20"/>
          <w:lang w:eastAsia="zh-CN"/>
        </w:rPr>
        <w:t>Pteris vittata</w:t>
      </w: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t xml:space="preserve"> and growth media</w:t>
      </w:r>
    </w:p>
    <w:p w14:paraId="13E960CF" w14:textId="77777777" w:rsidR="00677FCB" w:rsidRPr="00CC741D" w:rsidRDefault="003409F6" w:rsidP="00677FCB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</w:pP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t>S 2.5 Fe–P solubilizing and phytase activity analysis</w:t>
      </w:r>
    </w:p>
    <w:p w14:paraId="759A342C" w14:textId="5D07EBAE" w:rsidR="00135C10" w:rsidRPr="00CC741D" w:rsidRDefault="003409F6" w:rsidP="00677FCB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</w:pP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t xml:space="preserve">References </w:t>
      </w:r>
      <w:r w:rsidRPr="00CC741D">
        <w:rPr>
          <w:rFonts w:ascii="Times New Roman" w:eastAsia="等线" w:hAnsi="Times New Roman" w:cs="Times New Roman"/>
          <w:bCs/>
          <w:noProof/>
          <w:sz w:val="20"/>
          <w:szCs w:val="20"/>
          <w:lang w:eastAsia="zh-CN"/>
        </w:rPr>
        <w:br w:type="page"/>
      </w:r>
    </w:p>
    <w:p w14:paraId="54A92A37" w14:textId="77777777" w:rsidR="00135C10" w:rsidRPr="00CC741D" w:rsidRDefault="00135C10" w:rsidP="009B0135">
      <w:pPr>
        <w:spacing w:line="480" w:lineRule="auto"/>
        <w:ind w:left="840"/>
        <w:rPr>
          <w:rFonts w:ascii="Times New Roman" w:eastAsia="等线" w:hAnsi="Times New Roman" w:cs="Times New Roman"/>
          <w:sz w:val="20"/>
          <w:szCs w:val="20"/>
        </w:rPr>
      </w:pPr>
      <w:r w:rsidRPr="00CC741D">
        <w:rPr>
          <w:rFonts w:ascii="Times New Roman" w:eastAsia="等线" w:hAnsi="Times New Roman" w:cs="Times New Roman"/>
          <w:bCs/>
          <w:sz w:val="20"/>
          <w:szCs w:val="20"/>
        </w:rPr>
        <w:lastRenderedPageBreak/>
        <w:t>Table S 1</w:t>
      </w:r>
      <w:r w:rsidRPr="00CC741D">
        <w:rPr>
          <w:rFonts w:ascii="Times New Roman" w:eastAsia="等线" w:hAnsi="Times New Roman" w:cs="Times New Roman"/>
          <w:sz w:val="20"/>
          <w:szCs w:val="20"/>
        </w:rPr>
        <w:t>. Chemical composition of the P and Fe free, half-strength Hoagland hydroponic solution</w:t>
      </w:r>
    </w:p>
    <w:tbl>
      <w:tblPr>
        <w:tblStyle w:val="TableGrid1"/>
        <w:tblpPr w:leftFromText="180" w:rightFromText="180" w:vertAnchor="text" w:horzAnchor="page" w:tblpXSpec="center" w:tblpY="229"/>
        <w:tblW w:w="388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</w:tblGrid>
      <w:tr w:rsidR="00135C10" w:rsidRPr="00CC741D" w14:paraId="3A9A71C2" w14:textId="77777777" w:rsidTr="00361800">
        <w:trPr>
          <w:trHeight w:val="216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8C56009" w14:textId="77777777" w:rsidR="00135C10" w:rsidRPr="00CC741D" w:rsidRDefault="00135C10" w:rsidP="00361800">
            <w:pPr>
              <w:jc w:val="left"/>
              <w:rPr>
                <w:rFonts w:eastAsia="等线"/>
                <w:b/>
                <w:bCs/>
                <w:sz w:val="20"/>
                <w:szCs w:val="20"/>
              </w:rPr>
            </w:pPr>
            <w:r w:rsidRPr="00CC741D">
              <w:rPr>
                <w:rFonts w:eastAsia="等线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702343A" w14:textId="77777777" w:rsidR="00135C10" w:rsidRPr="00CC741D" w:rsidRDefault="00135C10" w:rsidP="00D941B3">
            <w:pPr>
              <w:rPr>
                <w:rFonts w:eastAsia="等线"/>
                <w:b/>
                <w:bCs/>
                <w:sz w:val="20"/>
                <w:szCs w:val="20"/>
              </w:rPr>
            </w:pPr>
            <w:r w:rsidRPr="00CC741D">
              <w:rPr>
                <w:rFonts w:eastAsia="等线"/>
                <w:b/>
                <w:bCs/>
                <w:sz w:val="20"/>
                <w:szCs w:val="20"/>
              </w:rPr>
              <w:t>Concentration</w:t>
            </w:r>
          </w:p>
        </w:tc>
      </w:tr>
      <w:tr w:rsidR="00135C10" w:rsidRPr="00CC741D" w14:paraId="753655DA" w14:textId="77777777" w:rsidTr="00361800">
        <w:trPr>
          <w:trHeight w:val="208"/>
        </w:trPr>
        <w:tc>
          <w:tcPr>
            <w:tcW w:w="2500" w:type="pct"/>
            <w:tcBorders>
              <w:top w:val="single" w:sz="4" w:space="0" w:color="auto"/>
            </w:tcBorders>
          </w:tcPr>
          <w:p w14:paraId="520AED67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NH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4</w:t>
            </w:r>
            <w:r w:rsidRPr="00CC741D">
              <w:rPr>
                <w:rFonts w:eastAsia="等线"/>
                <w:sz w:val="20"/>
                <w:szCs w:val="20"/>
              </w:rPr>
              <w:t>NO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8425EAA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  <w:vertAlign w:val="superscript"/>
              </w:rPr>
            </w:pPr>
            <w:r w:rsidRPr="00CC741D">
              <w:rPr>
                <w:rFonts w:eastAsia="等线"/>
                <w:sz w:val="20"/>
                <w:szCs w:val="20"/>
              </w:rPr>
              <w:t>0.6 mmol NO</w:t>
            </w:r>
            <w:r w:rsidRPr="00CC741D">
              <w:rPr>
                <w:rFonts w:eastAsia="等线"/>
                <w:sz w:val="20"/>
                <w:szCs w:val="20"/>
                <w:vertAlign w:val="superscript"/>
              </w:rPr>
              <w:t xml:space="preserve">-3 </w:t>
            </w:r>
            <w:r w:rsidRPr="00CC741D">
              <w:rPr>
                <w:rFonts w:eastAsia="等线"/>
                <w:sz w:val="20"/>
                <w:szCs w:val="20"/>
              </w:rPr>
              <w:t>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  <w:tr w:rsidR="00135C10" w:rsidRPr="00CC741D" w14:paraId="6F2992BD" w14:textId="77777777" w:rsidTr="00361800">
        <w:trPr>
          <w:trHeight w:val="216"/>
        </w:trPr>
        <w:tc>
          <w:tcPr>
            <w:tcW w:w="2500" w:type="pct"/>
          </w:tcPr>
          <w:p w14:paraId="408891F1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KNO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00" w:type="pct"/>
          </w:tcPr>
          <w:p w14:paraId="5253AD3B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1.0 mmol K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  <w:tr w:rsidR="00135C10" w:rsidRPr="00CC741D" w14:paraId="2A67E5C1" w14:textId="77777777" w:rsidTr="00361800">
        <w:trPr>
          <w:trHeight w:val="208"/>
        </w:trPr>
        <w:tc>
          <w:tcPr>
            <w:tcW w:w="2500" w:type="pct"/>
          </w:tcPr>
          <w:p w14:paraId="28EF427D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Ca (NO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3</w:t>
            </w:r>
            <w:r w:rsidRPr="00CC741D">
              <w:rPr>
                <w:rFonts w:eastAsia="等线"/>
                <w:sz w:val="20"/>
                <w:szCs w:val="20"/>
              </w:rPr>
              <w:t>)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2</w:t>
            </w:r>
            <w:r w:rsidRPr="00CC741D">
              <w:rPr>
                <w:rFonts w:eastAsia="等线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7DD6898D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1.2 mmol Ca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  <w:tr w:rsidR="00135C10" w:rsidRPr="00CC741D" w14:paraId="1CEEE5D6" w14:textId="77777777" w:rsidTr="00361800">
        <w:trPr>
          <w:trHeight w:val="216"/>
        </w:trPr>
        <w:tc>
          <w:tcPr>
            <w:tcW w:w="2500" w:type="pct"/>
          </w:tcPr>
          <w:p w14:paraId="6EE5D695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MgSO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00" w:type="pct"/>
          </w:tcPr>
          <w:p w14:paraId="0265F82F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0.12 mmol M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  <w:tr w:rsidR="00135C10" w:rsidRPr="00CC741D" w14:paraId="14EEF605" w14:textId="77777777" w:rsidTr="00361800">
        <w:trPr>
          <w:trHeight w:val="216"/>
        </w:trPr>
        <w:tc>
          <w:tcPr>
            <w:tcW w:w="2500" w:type="pct"/>
          </w:tcPr>
          <w:p w14:paraId="13F41684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MnCl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2500" w:type="pct"/>
          </w:tcPr>
          <w:p w14:paraId="16109348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1.1 × 10</w:t>
            </w:r>
            <w:r w:rsidRPr="00CC741D">
              <w:rPr>
                <w:rFonts w:eastAsia="微软雅黑"/>
                <w:sz w:val="20"/>
                <w:szCs w:val="20"/>
                <w:vertAlign w:val="superscript"/>
              </w:rPr>
              <w:t>−</w:t>
            </w:r>
            <w:r w:rsidRPr="00CC741D">
              <w:rPr>
                <w:rFonts w:eastAsia="等线"/>
                <w:sz w:val="20"/>
                <w:szCs w:val="20"/>
                <w:vertAlign w:val="superscript"/>
              </w:rPr>
              <w:t>3</w:t>
            </w:r>
            <w:r w:rsidRPr="00CC741D">
              <w:rPr>
                <w:rFonts w:eastAsia="等线"/>
                <w:sz w:val="20"/>
                <w:szCs w:val="20"/>
              </w:rPr>
              <w:t xml:space="preserve"> mmol Mn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  <w:tr w:rsidR="00135C10" w:rsidRPr="00CC741D" w14:paraId="13516299" w14:textId="77777777" w:rsidTr="00361800">
        <w:trPr>
          <w:trHeight w:val="634"/>
        </w:trPr>
        <w:tc>
          <w:tcPr>
            <w:tcW w:w="2500" w:type="pct"/>
          </w:tcPr>
          <w:p w14:paraId="2E60CE85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H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3</w:t>
            </w:r>
            <w:r w:rsidRPr="00CC741D">
              <w:rPr>
                <w:rFonts w:eastAsia="等线"/>
                <w:sz w:val="20"/>
                <w:szCs w:val="20"/>
              </w:rPr>
              <w:t>BO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4</w:t>
            </w:r>
          </w:p>
          <w:p w14:paraId="52DFA0B4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ZnSO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4</w:t>
            </w:r>
          </w:p>
          <w:p w14:paraId="6824F1CE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CuSO</w:t>
            </w:r>
            <w:r w:rsidRPr="00CC741D">
              <w:rPr>
                <w:rFonts w:eastAsia="等线"/>
                <w:sz w:val="20"/>
                <w:szCs w:val="20"/>
                <w:vertAlign w:val="subscript"/>
              </w:rPr>
              <w:t>4</w:t>
            </w:r>
            <w:r w:rsidRPr="00CC741D">
              <w:rPr>
                <w:rFonts w:eastAsia="等线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6C5D528F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0.6 × 10</w:t>
            </w:r>
            <w:r w:rsidRPr="00CC741D">
              <w:rPr>
                <w:rFonts w:eastAsia="微软雅黑"/>
                <w:sz w:val="20"/>
                <w:szCs w:val="20"/>
                <w:vertAlign w:val="superscript"/>
              </w:rPr>
              <w:t>−</w:t>
            </w:r>
            <w:r w:rsidRPr="00CC741D">
              <w:rPr>
                <w:rFonts w:eastAsia="等线"/>
                <w:sz w:val="20"/>
                <w:szCs w:val="20"/>
                <w:vertAlign w:val="superscript"/>
              </w:rPr>
              <w:t>2</w:t>
            </w:r>
            <w:r w:rsidRPr="00CC741D">
              <w:rPr>
                <w:rFonts w:eastAsia="等线"/>
                <w:sz w:val="20"/>
                <w:szCs w:val="20"/>
              </w:rPr>
              <w:t xml:space="preserve"> mmol B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  <w:p w14:paraId="53353946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1.0 × 10</w:t>
            </w:r>
            <w:r w:rsidRPr="00CC741D">
              <w:rPr>
                <w:rFonts w:eastAsia="微软雅黑"/>
                <w:sz w:val="20"/>
                <w:szCs w:val="20"/>
                <w:vertAlign w:val="superscript"/>
              </w:rPr>
              <w:t>−</w:t>
            </w:r>
            <w:r w:rsidRPr="00CC741D">
              <w:rPr>
                <w:rFonts w:eastAsia="等线"/>
                <w:sz w:val="20"/>
                <w:szCs w:val="20"/>
                <w:vertAlign w:val="superscript"/>
              </w:rPr>
              <w:t>4</w:t>
            </w:r>
            <w:r w:rsidRPr="00CC741D">
              <w:rPr>
                <w:rFonts w:eastAsia="等线"/>
                <w:sz w:val="20"/>
                <w:szCs w:val="20"/>
              </w:rPr>
              <w:t xml:space="preserve"> mmol Zn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  <w:p w14:paraId="3BE3200D" w14:textId="77777777" w:rsidR="00135C10" w:rsidRPr="00CC741D" w:rsidRDefault="00135C10" w:rsidP="00D941B3">
            <w:pPr>
              <w:rPr>
                <w:rFonts w:eastAsia="等线"/>
                <w:sz w:val="20"/>
                <w:szCs w:val="20"/>
              </w:rPr>
            </w:pPr>
            <w:r w:rsidRPr="00CC741D">
              <w:rPr>
                <w:rFonts w:eastAsia="等线"/>
                <w:sz w:val="20"/>
                <w:szCs w:val="20"/>
              </w:rPr>
              <w:t>4 × 10</w:t>
            </w:r>
            <w:r w:rsidRPr="00CC741D">
              <w:rPr>
                <w:rFonts w:eastAsia="微软雅黑"/>
                <w:sz w:val="20"/>
                <w:szCs w:val="20"/>
                <w:vertAlign w:val="superscript"/>
              </w:rPr>
              <w:t>−</w:t>
            </w:r>
            <w:r w:rsidRPr="00CC741D">
              <w:rPr>
                <w:rFonts w:eastAsia="等线"/>
                <w:sz w:val="20"/>
                <w:szCs w:val="20"/>
                <w:vertAlign w:val="superscript"/>
              </w:rPr>
              <w:t>5</w:t>
            </w:r>
            <w:r w:rsidRPr="00CC741D">
              <w:rPr>
                <w:rFonts w:eastAsia="等线"/>
                <w:sz w:val="20"/>
                <w:szCs w:val="20"/>
              </w:rPr>
              <w:t xml:space="preserve"> mmol Cu L</w:t>
            </w:r>
            <w:r w:rsidRPr="00CC741D">
              <w:rPr>
                <w:bCs/>
                <w:noProof/>
                <w:sz w:val="20"/>
                <w:szCs w:val="20"/>
                <w:vertAlign w:val="superscript"/>
              </w:rPr>
              <w:t>−1</w:t>
            </w:r>
          </w:p>
        </w:tc>
      </w:tr>
    </w:tbl>
    <w:p w14:paraId="34405330" w14:textId="77777777" w:rsidR="00135C10" w:rsidRPr="00CC741D" w:rsidRDefault="00135C10" w:rsidP="00135C10">
      <w:pPr>
        <w:spacing w:line="480" w:lineRule="auto"/>
        <w:ind w:left="900" w:hangingChars="450" w:hanging="900"/>
        <w:rPr>
          <w:rFonts w:ascii="Times New Roman" w:eastAsia="等线" w:hAnsi="Times New Roman" w:cs="Times New Roman"/>
          <w:sz w:val="20"/>
          <w:szCs w:val="20"/>
        </w:rPr>
      </w:pPr>
    </w:p>
    <w:p w14:paraId="528B1E53" w14:textId="77777777" w:rsidR="00677FCB" w:rsidRPr="00CC741D" w:rsidRDefault="00135C10" w:rsidP="00135C10">
      <w:pPr>
        <w:widowControl/>
        <w:spacing w:before="240"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 w:rsidRPr="00CC741D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br w:type="page"/>
      </w:r>
    </w:p>
    <w:p w14:paraId="58925BB7" w14:textId="3313F1CA" w:rsidR="00677FCB" w:rsidRPr="00CC741D" w:rsidRDefault="00677FCB" w:rsidP="00135C10">
      <w:pPr>
        <w:widowControl/>
        <w:spacing w:before="240"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 w:rsidRPr="00CC741D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>S2. Material and Methods</w:t>
      </w:r>
    </w:p>
    <w:p w14:paraId="22C4167B" w14:textId="0FBB1E2A" w:rsidR="00135C10" w:rsidRPr="00CC741D" w:rsidRDefault="00135C10" w:rsidP="00677FCB">
      <w:pPr>
        <w:widowControl/>
        <w:spacing w:before="240" w:after="240"/>
        <w:jc w:val="left"/>
        <w:rPr>
          <w:rFonts w:ascii="Times New Roman" w:eastAsia="等线" w:hAnsi="Times New Roman" w:cs="Times New Roman"/>
          <w:bCs/>
          <w:kern w:val="0"/>
          <w:sz w:val="20"/>
          <w:szCs w:val="20"/>
        </w:rPr>
      </w:pPr>
      <w:r w:rsidRPr="00CC741D">
        <w:rPr>
          <w:rFonts w:ascii="Times New Roman" w:eastAsia="等线" w:hAnsi="Times New Roman" w:cs="Times New Roman"/>
          <w:bCs/>
          <w:kern w:val="0"/>
          <w:sz w:val="20"/>
          <w:szCs w:val="20"/>
        </w:rPr>
        <w:t>S2.</w:t>
      </w:r>
      <w:r w:rsidR="00677FCB" w:rsidRPr="00CC741D">
        <w:rPr>
          <w:rFonts w:ascii="Times New Roman" w:eastAsia="等线" w:hAnsi="Times New Roman" w:cs="Times New Roman"/>
          <w:bCs/>
          <w:kern w:val="0"/>
          <w:sz w:val="20"/>
          <w:szCs w:val="20"/>
        </w:rPr>
        <w:t>1</w:t>
      </w:r>
      <w:r w:rsidRPr="00CC741D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</w:t>
      </w:r>
      <w:r w:rsidRPr="00CC741D">
        <w:rPr>
          <w:rFonts w:ascii="Times New Roman" w:eastAsia="等线" w:hAnsi="Times New Roman" w:cs="Times New Roman"/>
          <w:bCs/>
          <w:kern w:val="0"/>
          <w:sz w:val="20"/>
          <w:szCs w:val="20"/>
        </w:rPr>
        <w:t>Preparation of colloidal iron phosphate</w:t>
      </w:r>
    </w:p>
    <w:p w14:paraId="579F2F72" w14:textId="79FFAFDA" w:rsidR="00135C10" w:rsidRPr="00CC741D" w:rsidRDefault="00135C10" w:rsidP="00677FCB">
      <w:pPr>
        <w:autoSpaceDE w:val="0"/>
        <w:autoSpaceDN w:val="0"/>
        <w:adjustRightInd w:val="0"/>
        <w:spacing w:line="480" w:lineRule="auto"/>
        <w:ind w:firstLine="420"/>
        <w:rPr>
          <w:rFonts w:ascii="Times New Roman" w:eastAsia="等线" w:hAnsi="Times New Roman" w:cs="Times New Roman"/>
          <w:kern w:val="0"/>
          <w:sz w:val="20"/>
          <w:szCs w:val="20"/>
        </w:rPr>
      </w:pPr>
      <w:r w:rsidRPr="00CC741D">
        <w:rPr>
          <w:rFonts w:ascii="Times New Roman" w:eastAsia="等线" w:hAnsi="Times New Roman" w:cs="Times New Roman" w:hint="eastAsia"/>
          <w:kern w:val="0"/>
          <w:sz w:val="20"/>
          <w:szCs w:val="20"/>
        </w:rPr>
        <w:t>T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>he iron phosphate was prepared by thermal heating of ferric chloride (FeCl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  <w:vertAlign w:val="subscript"/>
        </w:rPr>
        <w:t>3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>) and KH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  <w:vertAlign w:val="subscript"/>
        </w:rPr>
        <w:t>2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>PO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  <w:vertAlign w:val="subscript"/>
        </w:rPr>
        <w:t>4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begin" w:fldLock="1"/>
      </w:r>
      <w:r w:rsidR="00677FCB" w:rsidRPr="00CC741D">
        <w:rPr>
          <w:rFonts w:ascii="Times New Roman" w:eastAsia="等线" w:hAnsi="Times New Roman" w:cs="Times New Roman"/>
          <w:kern w:val="0"/>
          <w:sz w:val="20"/>
          <w:szCs w:val="20"/>
        </w:rPr>
        <w:instrText>ADDIN CSL_CITATION {"citationItems":[{"id":"ITEM-1","itemData":{"DOI":"10.1039/c7ra09186a","ISSN":"20462069","abstract":"FePO4 catalysts with branch-like, flower-like, and spherical morphologies were synthesized for the conversion of methyl cellulose to 5-hydroxymethylfurfural (5-HMF) via a hydrothermal route. The molar ratio of Fe3+ and H2PO4- ions in the reaction system played a crucial role in the morphology of FePO4. Compared with flower-like, spherical and amorphous FePO4, branch-like FePO4 presented a better catalytic performance in the cellulose conversion and 5-HMF yield. The branch-like FePO4 retained a branch structure after recycling five times in the bi-phasic reaction process. The insolubility of low temperature and partial dissolution of elevated temperature were responsible for the excellent catalytic activity of the FePO4 phase-change catalyst. The combined effect of H+ ions and iron species generated from the hydrolysis of FePO4 can be favorable for the enhanced yield of 5-HMF.","author":[{"dropping-particle":"","family":"Liu","given":"Yong","non-dropping-particle":"","parse-names":false,"suffix":""},{"dropping-particle":"","family":"Li","given":"Zili","non-dropping-particle":"","parse-names":false,"suffix":""},{"dropping-particle":"","family":"You","given":"Yaohui","non-dropping-particle":"","parse-names":false,"suffix":""},{"dropping-particle":"","family":"Zheng","given":"Xiaogang","non-dropping-particle":"","parse-names":false,"suffix":""},{"dropping-particle":"","family":"Wen","given":"Jing","non-dropping-particle":"","parse-names":false,"suffix":""}],"container-title":"RSC Advances","id":"ITEM-1","issue":"81","issued":{"date-parts":[["2017"]]},"page":"51281-51289","title":"Synthesis of different structured FePO4 for the enhanced conversion of methyl cellulose to 5-hydroxymethylfurfural","type":"article-journal","volume":"7"},"uris":["http://www.mendeley.com/documents/?uuid=03f1c3d4-c0c9-40ea-959a-bf57112cfa4c"]}],"mendeley":{"formattedCitation":"(Liu et al. 2017)","plainTextFormattedCitation":"(Liu et al. 2017)","previouslyFormattedCitation":"(Liu et al. 2017)"},"properties":{"noteIndex":0},"schema":"https://github.com/citation-style-language/schema/raw/master/csl-citation.json"}</w:instrTex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separate"/>
      </w:r>
      <w:r w:rsidR="00677FCB" w:rsidRPr="00CC741D">
        <w:rPr>
          <w:rFonts w:ascii="Times New Roman" w:eastAsia="等线" w:hAnsi="Times New Roman" w:cs="Times New Roman"/>
          <w:noProof/>
          <w:kern w:val="0"/>
          <w:sz w:val="20"/>
          <w:szCs w:val="20"/>
        </w:rPr>
        <w:t>(Liu et al. 2017)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end"/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. The reagents were mixed at 2:3 molar ratio in 60 mL ethanol solution (50 </w:t>
      </w:r>
      <w:proofErr w:type="spellStart"/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>wt</w:t>
      </w:r>
      <w:proofErr w:type="spellEnd"/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%). All the reagents were bought from Aladdin Industrial Inc. Shanghai, China with purity &gt; 99%. The mixture was stirred for 3 h at room temperature, and then autoclaved at 170 </w:t>
      </w:r>
      <w:r w:rsidRPr="00CC741D">
        <w:rPr>
          <w:rFonts w:ascii="Times New Roman" w:eastAsia="TimesNewRoman" w:hAnsi="Times New Roman" w:cs="Times New Roman"/>
          <w:color w:val="000000" w:themeColor="text1"/>
          <w:kern w:val="0"/>
          <w:sz w:val="20"/>
          <w:szCs w:val="20"/>
        </w:rPr>
        <w:t>°C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for 12 h. The mixture was allowed to cool at room temperature, centrifuged, washed with deionized water and dried at 60 </w:t>
      </w:r>
      <w:r w:rsidRPr="00CC741D">
        <w:rPr>
          <w:rFonts w:ascii="Times New Roman" w:eastAsia="TimesNewRoman" w:hAnsi="Times New Roman" w:cs="Times New Roman"/>
          <w:color w:val="000000" w:themeColor="text1"/>
          <w:kern w:val="0"/>
          <w:sz w:val="20"/>
          <w:szCs w:val="20"/>
        </w:rPr>
        <w:t>°C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for 10 h, then calcined with NaCl at 500 </w:t>
      </w:r>
      <w:r w:rsidRPr="00CC741D">
        <w:rPr>
          <w:rFonts w:ascii="Times New Roman" w:eastAsia="TimesNewRoman" w:hAnsi="Times New Roman" w:cs="Times New Roman"/>
          <w:color w:val="000000" w:themeColor="text1"/>
          <w:kern w:val="0"/>
          <w:sz w:val="20"/>
          <w:szCs w:val="20"/>
        </w:rPr>
        <w:t>°C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for 3 h. The final solution was dialyzed against demineralized water, the water was replaced three times per day 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begin" w:fldLock="1"/>
      </w:r>
      <w:r w:rsidR="00677FCB" w:rsidRPr="00CC741D">
        <w:rPr>
          <w:rFonts w:ascii="Times New Roman" w:eastAsia="等线" w:hAnsi="Times New Roman" w:cs="Times New Roman"/>
          <w:kern w:val="0"/>
          <w:sz w:val="20"/>
          <w:szCs w:val="20"/>
        </w:rPr>
        <w:instrText>ADDIN CSL_CITATION {"citationItems":[{"id":"ITEM-1","itemData":{"DOI":"10.1021/acs.jafc.7b01483","ISSN":"15205118","PMID":"28731339","abstract":"Colloidal forms of Fe(III) minerals can be stabilized in solution by coatings of organic or poly-phosphate (P), which reduce the zeta-potential. This opens up a route toward the development of nanoforms of P fertilizers. However, it is unclear if such P forms are bioavailable. To address this question, spinach (Spinacia oleracea) was grown in nutrient solutions, at equal total P, using three different forms of P (orthophosphate = Pi; hexametaphosphate = HMP; myo-inositol hexaphosphate = IHP), free or bound to goethite/ferrihydrite colloids. After 10 days, P uptake was determined with a dose-response curve using colloid-free Pi as a reference treatment. The Pi concentration generating equal P uptake as in colloidal P treatments was used to calculate the relative bioavailability of colloidal P (RBAcolloid). The RBAcolloid was about 60% for Pi-loaded goethite, stabilized with natural organic matter. For HMP/IHP-Pi-loaded colloids, RBAcolloid ranged between 10 and 50%, in line with their higher sorption strength. In conclusion, colloidal organic P or poly-P can stabilize Fe(III) colloids in solution and can contribute to plant-available P. Soil experiments are required to assess their potential as nanofertilizers.","author":[{"dropping-particle":"","family":"Bollyn","given":"Jessica","non-dropping-particle":"","parse-names":false,"suffix":""},{"dropping-particle":"","family":"Faes","given":"Joran","non-dropping-particle":"","parse-names":false,"suffix":""},{"dropping-particle":"","family":"Fritzsche","given":"Andreas","non-dropping-particle":"","parse-names":false,"suffix":""},{"dropping-particle":"","family":"Smolders","given":"Erik","non-dropping-particle":"","parse-names":false,"suffix":""}],"container-title":"Journal of Agricultural and Food Chemistry","id":"ITEM-1","issue":"32","issued":{"date-parts":[["2017"]]},"page":"6762-6770","title":"Colloidal-Bound Polyphosphates and Organic Phosphates Are Bioavailable: A Nutrient Solution Study","type":"article-journal","volume":"65"},"uris":["http://www.mendeley.com/documents/?uuid=f3fb42f9-529c-46eb-9ca4-311214f8f93d"]}],"mendeley":{"formattedCitation":"(Bollyn et al. 2017)","plainTextFormattedCitation":"(Bollyn et al. 2017)","previouslyFormattedCitation":"(Bollyn et al. 2017)"},"properties":{"noteIndex":0},"schema":"https://github.com/citation-style-language/schema/raw/master/csl-citation.json"}</w:instrTex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separate"/>
      </w:r>
      <w:r w:rsidR="00677FCB" w:rsidRPr="00CC741D">
        <w:rPr>
          <w:rFonts w:ascii="Times New Roman" w:eastAsia="等线" w:hAnsi="Times New Roman" w:cs="Times New Roman"/>
          <w:noProof/>
          <w:kern w:val="0"/>
          <w:sz w:val="20"/>
          <w:szCs w:val="20"/>
        </w:rPr>
        <w:t>(Bollyn et al. 2017)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fldChar w:fldCharType="end"/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>. The sample were freeze dried and white powder was obtain as final product. The powder was stored in desiccator for further use. The product was characterized using XRD (</w:t>
      </w:r>
      <w:r w:rsidRPr="00CC741D">
        <w:rPr>
          <w:rFonts w:ascii="Times New Roman" w:hAnsi="Times New Roman" w:cs="Times New Roman"/>
          <w:kern w:val="0"/>
          <w:sz w:val="20"/>
          <w:szCs w:val="20"/>
        </w:rPr>
        <w:t>D8 Advance X-ray Powder Di</w:t>
      </w:r>
      <w:r w:rsidRPr="00CC741D">
        <w:rPr>
          <w:rFonts w:ascii="Times New Roman" w:eastAsia="AdvOT999035f4+fb" w:hAnsi="Times New Roman" w:cs="Times New Roman"/>
          <w:kern w:val="0"/>
          <w:sz w:val="20"/>
          <w:szCs w:val="20"/>
        </w:rPr>
        <w:t>ff</w:t>
      </w:r>
      <w:r w:rsidRPr="00CC741D">
        <w:rPr>
          <w:rFonts w:ascii="Times New Roman" w:hAnsi="Times New Roman" w:cs="Times New Roman"/>
          <w:kern w:val="0"/>
          <w:sz w:val="20"/>
          <w:szCs w:val="20"/>
        </w:rPr>
        <w:t>ractometer, Bruker, Country)</w:t>
      </w:r>
      <w:r w:rsidRPr="00CC741D">
        <w:rPr>
          <w:rFonts w:ascii="Times New Roman" w:hAnsi="Times New Roman" w:cs="Times New Roman"/>
          <w:color w:val="000000"/>
          <w:sz w:val="20"/>
          <w:szCs w:val="20"/>
        </w:rPr>
        <w:t>, dynamic light scattering (DLS) using a</w:t>
      </w:r>
      <w:r w:rsidRPr="00CC741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CC741D">
        <w:rPr>
          <w:rFonts w:ascii="Times New Roman" w:hAnsi="Times New Roman" w:cs="Times New Roman"/>
          <w:kern w:val="0"/>
          <w:sz w:val="20"/>
          <w:szCs w:val="20"/>
        </w:rPr>
        <w:t>Zetasizer</w:t>
      </w:r>
      <w:proofErr w:type="spellEnd"/>
      <w:r w:rsidRPr="00CC741D">
        <w:rPr>
          <w:rFonts w:ascii="Times New Roman" w:hAnsi="Times New Roman" w:cs="Times New Roman"/>
          <w:kern w:val="0"/>
          <w:sz w:val="20"/>
          <w:szCs w:val="20"/>
        </w:rPr>
        <w:t xml:space="preserve"> (Nano ZS90, </w:t>
      </w:r>
      <w:proofErr w:type="spellStart"/>
      <w:r w:rsidRPr="00CC741D">
        <w:rPr>
          <w:rFonts w:ascii="Times New Roman" w:hAnsi="Times New Roman" w:cs="Times New Roman"/>
          <w:kern w:val="0"/>
          <w:sz w:val="20"/>
          <w:szCs w:val="20"/>
        </w:rPr>
        <w:t>Malverb</w:t>
      </w:r>
      <w:proofErr w:type="spellEnd"/>
      <w:r w:rsidRPr="00CC741D">
        <w:rPr>
          <w:rFonts w:ascii="Times New Roman" w:hAnsi="Times New Roman" w:cs="Times New Roman"/>
          <w:kern w:val="0"/>
          <w:sz w:val="20"/>
          <w:szCs w:val="20"/>
        </w:rPr>
        <w:t>, UK) were used to determine the hydrodynamic size distribution and Scanning electronic microscope</w:t>
      </w:r>
      <w:r w:rsidRPr="00CC741D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 xml:space="preserve"> (Gemini SEM 300; ZEISS, Germany).</w:t>
      </w:r>
      <w:r w:rsidRPr="00CC741D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</w:p>
    <w:p w14:paraId="10EBFC30" w14:textId="46A047F0" w:rsidR="00135C10" w:rsidRPr="00CC741D" w:rsidRDefault="00135C10" w:rsidP="00677F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S 2.</w:t>
      </w:r>
      <w:r w:rsidR="00677FCB" w:rsidRPr="00CC741D">
        <w:rPr>
          <w:rFonts w:ascii="Times New Roman" w:hAnsi="Times New Roman" w:cs="Times New Roman"/>
          <w:bCs/>
          <w:noProof/>
          <w:sz w:val="20"/>
          <w:szCs w:val="20"/>
        </w:rPr>
        <w:t>2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. Organic acid analysis </w:t>
      </w:r>
    </w:p>
    <w:p w14:paraId="483673C3" w14:textId="77777777" w:rsidR="00135C10" w:rsidRPr="00CC741D" w:rsidRDefault="00135C10" w:rsidP="00677FCB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 First the roots were washed with pure water and dipped in a 30 mg L−1 chloramphenico solution to inhibit microbial growth (Subbarao et al., 1997). Then the ferns were grown in a 500 mL plastic beaker that was covered with a black plastic sheet to minimize the entry of light. For the collection of root exudates, each plant was placed in 300 mL of sterilized pure water for 24 h and there were four replications. The collected exudates were freeze dried and kept at −80 °C then dissolved in 1.5 mL of 20 mM NaH2PO4 (pH 2.7), passed through a polyether sulfone filter (0.22 μm), and degassed. The solution was analysed for the three acids using high-performance liquid chromatography equipped with a reverse-phase dC18 anion-exchange analytical column (Agilent Zorbax-Aq 4.6 × 250 mm, 5-m, Germany) and a multi-wavelength detector at 215 nm (Waters, Milford, USA). The sample injection volume was 10 μL with a 20 mM NaH2PO4 (pH 2.7) flowing at 0.5 mL min</w:t>
      </w:r>
      <w:r w:rsidRPr="00CC741D">
        <w:rPr>
          <w:rFonts w:ascii="Times New Roman" w:hAnsi="Times New Roman" w:cs="Times New Roman"/>
          <w:bCs/>
          <w:noProof/>
          <w:sz w:val="20"/>
          <w:szCs w:val="20"/>
          <w:vertAlign w:val="superscript"/>
        </w:rPr>
        <w:t>−1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, and a column temperature of 30 °C. Phytic and citric acids of 99% purity (Sigma-Aldrich, St. Louis, U.S.A.) were used as standards. The organic acids were identified by retention time, and their concentration was calculated from the peak area and expressed on a fresh weight basis (Arnetoli et al., 2008).</w:t>
      </w:r>
    </w:p>
    <w:p w14:paraId="6C03CDC3" w14:textId="5C97AC29" w:rsidR="00135C10" w:rsidRPr="00CC741D" w:rsidRDefault="00135C10" w:rsidP="00677F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S 2.</w:t>
      </w:r>
      <w:r w:rsidR="00677FCB" w:rsidRPr="00CC741D">
        <w:rPr>
          <w:rFonts w:ascii="Times New Roman" w:hAnsi="Times New Roman" w:cs="Times New Roman"/>
          <w:bCs/>
          <w:noProof/>
          <w:sz w:val="20"/>
          <w:szCs w:val="20"/>
        </w:rPr>
        <w:t>3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Chemical analysis in </w:t>
      </w:r>
      <w:r w:rsidRPr="00CC741D">
        <w:rPr>
          <w:rFonts w:ascii="Times New Roman" w:hAnsi="Times New Roman" w:cs="Times New Roman"/>
          <w:bCs/>
          <w:i/>
          <w:noProof/>
          <w:sz w:val="20"/>
          <w:szCs w:val="20"/>
        </w:rPr>
        <w:t>Pteris vittata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and growth media</w:t>
      </w:r>
    </w:p>
    <w:p w14:paraId="68F9AE72" w14:textId="77777777" w:rsidR="00135C10" w:rsidRPr="00CC741D" w:rsidRDefault="00135C10" w:rsidP="00677FCB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Dried P. vittata samples (200 g) were powdered using a mortar and pestle and ground with 15 mL of 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lastRenderedPageBreak/>
        <w:t>trichloroacetic acid (TCA) (10% w: v). The suspension was held at 0–5 °C for 8 h then centrifuged at 3000 g for 10 min. The pellet was extracted by following the same procedure in 15 mL of 5% w:v trichloroacetic acid (TCA) and the supernatants were bulked (Ae et al., 1990). The TCA soluble, molybdate reactive (inorganic P fraction) in the supernatants was measured by the molybdenum blue method of Murphy and Riley (1962). Total P in the TCA supernatants (inorganic plus ester P fraction) was measured after Kjeldahl digestion by the same method. The solid residue was digested and the TCA-insoluble P fraction was also measured using the same method. Total P and Fe content of the samples was determined independently after digestion with a mixture of nitric, perchloric and sulfuric acids (3:1:1 v/v) by ICP-OES. In the growth media the concentration of P and Fe was measured by inductively coupled plasma mass spectrometry (NexION300X, PerkinElmer, USA).</w:t>
      </w:r>
    </w:p>
    <w:p w14:paraId="4DA627F3" w14:textId="15CF5F0E" w:rsidR="00135C10" w:rsidRPr="00CC741D" w:rsidRDefault="00135C10" w:rsidP="00677F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S 2.</w:t>
      </w:r>
      <w:r w:rsidR="00677FCB" w:rsidRPr="00CC741D">
        <w:rPr>
          <w:rFonts w:ascii="Times New Roman" w:hAnsi="Times New Roman" w:cs="Times New Roman"/>
          <w:bCs/>
          <w:noProof/>
          <w:sz w:val="20"/>
          <w:szCs w:val="20"/>
        </w:rPr>
        <w:t>4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Fe–P solubilizing and phytase activity analysis</w:t>
      </w:r>
    </w:p>
    <w:p w14:paraId="7A577BA0" w14:textId="77777777" w:rsidR="00135C10" w:rsidRPr="00CC741D" w:rsidRDefault="00135C10" w:rsidP="00677FCB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The FePO4 (Fe–P) solubilization capacity of root exudates was measured by placing 0.5 mL of root exudates collected in sec 2.4, plus 5 mg of FePO4coll (Fe–P) and 0.5 mL sodium acetate buffer (1 M, pH 5.6) into a 5 mL flask ( Subbarao et al., 1997). The Fe–P had been washed 3–4 times with distilled water to remove water-soluble P. Chloroform (0.1 mL) was added to the flask to minimize microbial activity and the suspensions were shaken for 24 h at 22 °C at 160 rpm. The suspensions were centrifuged at 16,000 g for 10 min and P was measured in the supernatant using the molybdenum blue method of Murphy and Riley (1962). We took pure water as the control. The difference between the P content in the control and supernatants was expressed as the Fe–P solubilizing activity of the root exudates.</w:t>
      </w:r>
    </w:p>
    <w:p w14:paraId="48E61709" w14:textId="77777777" w:rsidR="00677FCB" w:rsidRPr="00CC741D" w:rsidRDefault="00135C10" w:rsidP="00677F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>Phytase activity was assayed using the method of Richardson et al., (2000). Briefly, 4 mL of MES/Ca buffer was added to 200 mL of the nutrient solution containing the roots of the intact P. vittata plants and incubated for 4 h at 25 °C. The plants were then removed and pNPP or IHP substrate was added. Phytase activity was expressed in units of h</w:t>
      </w:r>
      <w:r w:rsidRPr="00CC741D">
        <w:rPr>
          <w:rFonts w:ascii="Times New Roman" w:hAnsi="Times New Roman" w:cs="Times New Roman"/>
          <w:bCs/>
          <w:noProof/>
          <w:sz w:val="20"/>
          <w:szCs w:val="20"/>
          <w:vertAlign w:val="superscript"/>
        </w:rPr>
        <w:t>−1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g</w:t>
      </w:r>
      <w:r w:rsidRPr="00CC741D">
        <w:rPr>
          <w:rFonts w:ascii="Times New Roman" w:hAnsi="Times New Roman" w:cs="Times New Roman"/>
          <w:bCs/>
          <w:noProof/>
          <w:sz w:val="20"/>
          <w:szCs w:val="20"/>
          <w:vertAlign w:val="superscript"/>
        </w:rPr>
        <w:t>−1</w:t>
      </w:r>
      <w:r w:rsidRPr="00CC741D">
        <w:rPr>
          <w:rFonts w:ascii="Times New Roman" w:hAnsi="Times New Roman" w:cs="Times New Roman"/>
          <w:bCs/>
          <w:noProof/>
          <w:sz w:val="20"/>
          <w:szCs w:val="20"/>
        </w:rPr>
        <w:t xml:space="preserve"> root FW</w:t>
      </w:r>
      <w:r w:rsidR="00677FCB" w:rsidRPr="00CC741D">
        <w:rPr>
          <w:rFonts w:ascii="Times New Roman" w:hAnsi="Times New Roman" w:cs="Times New Roman"/>
          <w:bCs/>
          <w:noProof/>
          <w:sz w:val="20"/>
          <w:szCs w:val="20"/>
        </w:rPr>
        <w:t>.</w:t>
      </w:r>
    </w:p>
    <w:p w14:paraId="62E3FBC7" w14:textId="166C041A" w:rsidR="00135C10" w:rsidRPr="00CC741D" w:rsidRDefault="00135C10" w:rsidP="00677F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CC741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EA6A" wp14:editId="303AD13B">
                <wp:simplePos x="0" y="0"/>
                <wp:positionH relativeFrom="column">
                  <wp:posOffset>1463040</wp:posOffset>
                </wp:positionH>
                <wp:positionV relativeFrom="paragraph">
                  <wp:posOffset>163830</wp:posOffset>
                </wp:positionV>
                <wp:extent cx="203200" cy="2540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18FC77" w14:textId="77777777" w:rsidR="00135C10" w:rsidRDefault="00135C10" w:rsidP="00135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1EA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2pt;margin-top:12.9pt;width:1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" fillcolor="white [3212]" strokecolor="white [3212]" strokeweight=".5pt">
                <v:textbox>
                  <w:txbxContent>
                    <w:p w14:paraId="4C18FC77" w14:textId="77777777" w:rsidR="00135C10" w:rsidRDefault="00135C10" w:rsidP="00135C10"/>
                  </w:txbxContent>
                </v:textbox>
              </v:shape>
            </w:pict>
          </mc:Fallback>
        </mc:AlternateContent>
      </w:r>
      <w:r w:rsidRPr="00CC741D">
        <w:rPr>
          <w:rFonts w:ascii="Times New Roman" w:eastAsia="Microsoft YaHei UI" w:hAnsi="Times New Roman" w:cs="Times New Roman"/>
          <w:b/>
          <w:color w:val="000000" w:themeColor="text1"/>
          <w:kern w:val="0"/>
          <w:sz w:val="20"/>
          <w:szCs w:val="20"/>
        </w:rPr>
        <w:t>References</w:t>
      </w:r>
    </w:p>
    <w:p w14:paraId="5F3EFD86" w14:textId="77777777" w:rsidR="00135C10" w:rsidRPr="00CC741D" w:rsidRDefault="00135C10" w:rsidP="00135C10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t xml:space="preserve">Ae, N., Arihara, J., Okada, K., Yoshihara, T., Johansen, C., 1990. Phosphorus uptake by pigeon pea and its role in cropping systems of the Indian subcontinent. Science (80-. ). 248, 477–480. </w:t>
      </w:r>
      <w:hyperlink r:id="rId5" w:history="1">
        <w:r w:rsidRPr="00CC741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https://doi.org/10.1126/science.248.4954.477</w:t>
        </w:r>
      </w:hyperlink>
    </w:p>
    <w:p w14:paraId="0E90DDAB" w14:textId="77777777" w:rsidR="00135C10" w:rsidRPr="00CC741D" w:rsidRDefault="00135C10" w:rsidP="00135C10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t>Arnetoli, M., Montegrossi, G., Buccianti, A., Gonnelli, C., 2008. Determination of organic acids in plants of silene paradoxa L. by HPLC. J. Agric. Food Chem. 56, 789–795. https://doi.org/10.1021/jf072203d</w:t>
      </w:r>
    </w:p>
    <w:p w14:paraId="66949062" w14:textId="77777777" w:rsidR="00135C10" w:rsidRPr="00CC741D" w:rsidRDefault="00135C10" w:rsidP="00135C10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eastAsia="等线" w:hAnsi="Times New Roman" w:cs="Times New Roman"/>
          <w:kern w:val="0"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Bollyn, J., Faes, J., Fritzsche, A., Smolders, E., 2017. Colloidal-Bound Polyphosphates and Organic Phosphates Are Bioavailable: A Nutrient Solution Study. J. Agric. Food Chem. 65, 6762–6770. </w:t>
      </w:r>
      <w:hyperlink r:id="rId6" w:history="1">
        <w:r w:rsidRPr="00CC741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https://doi.org/10.1021/acs.jafc.7b01483</w:t>
        </w:r>
      </w:hyperlink>
    </w:p>
    <w:p w14:paraId="6C73E055" w14:textId="77777777" w:rsidR="00135C10" w:rsidRPr="00CC741D" w:rsidRDefault="00135C10" w:rsidP="00135C10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t xml:space="preserve">Liu, Y., Li, Z., You, Y., Zheng, X., Wen, J., 2017. Synthesis of different structured FePO4 for the enhanced conversion of methyl cellulose to 5-hydroxymethylfurfural. RSC Adv. 7, 51281–51289. </w:t>
      </w:r>
      <w:hyperlink r:id="rId7" w:history="1">
        <w:r w:rsidRPr="00CC741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https://doi.org/10.1039/c7ra09186a</w:t>
        </w:r>
      </w:hyperlink>
    </w:p>
    <w:p w14:paraId="347209D3" w14:textId="77777777" w:rsidR="00135C10" w:rsidRPr="00CC741D" w:rsidRDefault="00135C10" w:rsidP="00135C10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t>Richardson, A.E., Hadobas, P.A., Hayes, J.E., 2000. Acid phosphomonoesterase and phytase activities of wheat (Triticum aestivum L.) roots and utilization of organic phosphorus substrates by seedlings grown in sterile culture. Plant, Cell Environ. 23, 397–405.</w:t>
      </w:r>
    </w:p>
    <w:p w14:paraId="444E4F35" w14:textId="049B50F7" w:rsidR="00F0656B" w:rsidRPr="00CC741D" w:rsidRDefault="00135C10" w:rsidP="00CC741D">
      <w:pPr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0"/>
          <w:szCs w:val="20"/>
        </w:rPr>
      </w:pPr>
      <w:r w:rsidRPr="00CC741D">
        <w:rPr>
          <w:rFonts w:ascii="Times New Roman" w:hAnsi="Times New Roman" w:cs="Times New Roman"/>
          <w:noProof/>
          <w:sz w:val="20"/>
          <w:szCs w:val="20"/>
        </w:rPr>
        <w:t>Subbarao, G.V., Ae, N., Otani, T., 1997. Genotypic variation in iron-, and aluminum-phosphate solubilizing activity of pigeonpea root exudates under p deficient conditions. Soil Sci. Plant Nutr. 43, 295–305. https://doi.org/10.1080/00380768.1997.10414754</w:t>
      </w:r>
      <w:bookmarkStart w:id="0" w:name="_GoBack"/>
      <w:bookmarkEnd w:id="0"/>
    </w:p>
    <w:sectPr w:rsidR="00F0656B" w:rsidRPr="00CC741D" w:rsidSect="003D2F25">
      <w:pgSz w:w="12240" w:h="15840"/>
      <w:pgMar w:top="1440" w:right="1644" w:bottom="1440" w:left="1588" w:header="431" w:footer="720" w:gutter="0"/>
      <w:lnNumType w:countBy="1" w:distance="720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vOT999035f4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jYzMTO1NDcwNzNR0lEKTi0uzszPAykwNK8FAElVVwctAAAA"/>
  </w:docVars>
  <w:rsids>
    <w:rsidRoot w:val="00416BA8"/>
    <w:rsid w:val="00135C10"/>
    <w:rsid w:val="001851DD"/>
    <w:rsid w:val="001C4B34"/>
    <w:rsid w:val="002545CD"/>
    <w:rsid w:val="002752A6"/>
    <w:rsid w:val="002D5F3E"/>
    <w:rsid w:val="003409F6"/>
    <w:rsid w:val="00361800"/>
    <w:rsid w:val="00416BA8"/>
    <w:rsid w:val="004757FD"/>
    <w:rsid w:val="004C1F75"/>
    <w:rsid w:val="005B5107"/>
    <w:rsid w:val="005C1068"/>
    <w:rsid w:val="00677FCB"/>
    <w:rsid w:val="006B0267"/>
    <w:rsid w:val="0083217E"/>
    <w:rsid w:val="008D1161"/>
    <w:rsid w:val="00937D90"/>
    <w:rsid w:val="009B0135"/>
    <w:rsid w:val="009F3ACD"/>
    <w:rsid w:val="00B34311"/>
    <w:rsid w:val="00CC741D"/>
    <w:rsid w:val="00CE3053"/>
    <w:rsid w:val="00D90C97"/>
    <w:rsid w:val="00F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3A53"/>
  <w15:chartTrackingRefBased/>
  <w15:docId w15:val="{AB15562E-20E6-41B2-8659-980E38D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409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qFormat/>
    <w:rsid w:val="003409F6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09F6"/>
  </w:style>
  <w:style w:type="character" w:styleId="Hyperlink">
    <w:name w:val="Hyperlink"/>
    <w:basedOn w:val="DefaultParagraphFont"/>
    <w:uiPriority w:val="99"/>
    <w:unhideWhenUsed/>
    <w:qFormat/>
    <w:rsid w:val="0013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39/c7ra0918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21/acs.jafc.7b01483" TargetMode="External"/><Relationship Id="rId5" Type="http://schemas.openxmlformats.org/officeDocument/2006/relationships/hyperlink" Target="https://doi.org/10.1126/science.248.4954.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8F0C-9D09-499F-B814-17D0113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Sangar Khan</dc:creator>
  <cp:keywords/>
  <dc:description/>
  <cp:lastModifiedBy>Sangar Khan</cp:lastModifiedBy>
  <cp:revision>32</cp:revision>
  <dcterms:created xsi:type="dcterms:W3CDTF">2021-04-19T16:34:00Z</dcterms:created>
  <dcterms:modified xsi:type="dcterms:W3CDTF">2021-06-28T04:47:00Z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http://www.zotero.org/styles/environmental-science-and-pollution-research</vt:lpwstr>
  </property>
  <property fmtid="{D5CDD505-2E9C-101B-9397-08002B2CF9AE}" pid="4" name="Mendeley Unique User Id_1">
    <vt:lpwstr>16b5acc2-cb56-3782-9d95-fa902bbdd415</vt:lpwstr>
  </property>
  <property fmtid="{D5CDD505-2E9C-101B-9397-08002B2CF9AE}" pid="5" name="Mendeley Recent Style Id 0_1">
    <vt:lpwstr>http://www.zotero.org/styles/chemosphere</vt:lpwstr>
  </property>
  <property fmtid="{D5CDD505-2E9C-101B-9397-08002B2CF9AE}" pid="6" name="Mendeley Recent Style Name 0_1">
    <vt:lpwstr>Chemosphere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http://www.zotero.org/styles/environmental-science-and-pollution-research</vt:lpwstr>
  </property>
  <property fmtid="{D5CDD505-2E9C-101B-9397-08002B2CF9AE}" pid="12" name="Mendeley Recent Style Name 3_1">
    <vt:lpwstr>Environmental Science and Pollution Research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http://www.zotero.org/styles/journal-of-agricultural-and-food-chemistry</vt:lpwstr>
  </property>
  <property fmtid="{D5CDD505-2E9C-101B-9397-08002B2CF9AE}" pid="16" name="Mendeley Recent Style Name 5_1">
    <vt:lpwstr>Journal of Agricultural and Food Chemistry</vt:lpwstr>
  </property>
  <property fmtid="{D5CDD505-2E9C-101B-9397-08002B2CF9AE}" pid="17" name="Mendeley Recent Style Id 6_1">
    <vt:lpwstr>http://www.zotero.org/styles/journal-of-environmental-management</vt:lpwstr>
  </property>
  <property fmtid="{D5CDD505-2E9C-101B-9397-08002B2CF9AE}" pid="18" name="Mendeley Recent Style Name 6_1">
    <vt:lpwstr>Journal of Environmental Management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http://www.zotero.org/styles/plant-and-soil</vt:lpwstr>
  </property>
  <property fmtid="{D5CDD505-2E9C-101B-9397-08002B2CF9AE}" pid="24" name="Mendeley Recent Style Name 9_1">
    <vt:lpwstr>Plant and Soil</vt:lpwstr>
  </property>
</Properties>
</file>