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Supplemental Materials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. Baseline characteristics of included and excluded participants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with normal weight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due to missing data</w:t>
      </w:r>
    </w:p>
    <w:tbl>
      <w:tblPr>
        <w:tblStyle w:val="3"/>
        <w:tblW w:w="0" w:type="auto"/>
        <w:tblInd w:w="-5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5"/>
        <w:gridCol w:w="1780"/>
        <w:gridCol w:w="1757"/>
        <w:gridCol w:w="16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Characteristics </w:t>
            </w:r>
          </w:p>
        </w:tc>
        <w:tc>
          <w:tcPr>
            <w:tcW w:w="1780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Excluded 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Included </w:t>
            </w:r>
          </w:p>
        </w:tc>
        <w:tc>
          <w:tcPr>
            <w:tcW w:w="1647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No. of participants</w:t>
            </w:r>
          </w:p>
        </w:tc>
        <w:tc>
          <w:tcPr>
            <w:tcW w:w="1780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4361</w:t>
            </w: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40473</w:t>
            </w:r>
          </w:p>
        </w:tc>
        <w:tc>
          <w:tcPr>
            <w:tcW w:w="1647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Age, years 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56.88±14.37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49.65±12.29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Men, n (%) 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3734 (85.62)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30427 (75.18)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High school or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above, n (%) 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 (6.41)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 (8.27)</w:t>
            </w:r>
          </w:p>
        </w:tc>
        <w:tc>
          <w:tcPr>
            <w:tcW w:w="164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Income &gt;800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yuan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/month, n (%) 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 (11.61)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5626 (14.33)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BMI, kg/m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22.4±1.72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22.56±1.64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BP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, mm Hg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130.96±21.43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125.24±19.26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BP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, mm Hg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82.05±11.56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±10.83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Current smoker,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 (31.37)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 (35.19)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Current alcohol use,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 (30.65)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15152 (38.32)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Active physical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activity, n (%)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 (93.24)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35525 (90.59)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Hypertension,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 (42.42)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12805 (31.64)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Diabetes Mellitus,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 (7.98)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 (5.83)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Dyslipidemia,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 (31.37)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10913 (26.96)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Antihypertensive agents,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 (6.92)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 (5.5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Antidiabetic agents,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 (1.5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 (1.4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Lipid-lowering agents, n (%)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 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.43)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 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.48)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, mmol/L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4.89±1.17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4.87±1.12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HDL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-C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, mmol/L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1.61±0.42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1.58±0.4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LDL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-C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, mmol/L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2.26±0.85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Hs-CRP,mg/dL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2.58±9.23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2.02±6.06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&lt;0.0001</w:t>
            </w:r>
          </w:p>
        </w:tc>
      </w:tr>
    </w:tbl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Abbreviations: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BMI, body mass index; DBP, diastolic blood pressure; FBG, fasting blood glucose; </w:t>
      </w:r>
      <w:r>
        <w:rPr>
          <w:rFonts w:hint="default" w:ascii="Times New Roman" w:hAnsi="Times New Roman" w:cs="Times New Roman"/>
          <w:sz w:val="24"/>
          <w:szCs w:val="24"/>
        </w:rPr>
        <w:t>LDL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, low-density lipoprotein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cholesterol</w:t>
      </w:r>
      <w:r>
        <w:rPr>
          <w:rFonts w:hint="default" w:ascii="Times New Roman" w:hAnsi="Times New Roman" w:cs="Times New Roman"/>
          <w:sz w:val="24"/>
          <w:szCs w:val="24"/>
        </w:rPr>
        <w:t>; HDL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, high-density lipoprotein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cholesterol</w:t>
      </w:r>
      <w:r>
        <w:rPr>
          <w:rFonts w:hint="default" w:ascii="Times New Roman" w:hAnsi="Times New Roman" w:cs="Times New Roman"/>
          <w:sz w:val="24"/>
          <w:szCs w:val="24"/>
        </w:rPr>
        <w:t xml:space="preserve">; hs-CRP, high-sensitivity C-reactive protein;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SBP, systolic blood pressure; TC, total cholesterol; 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 xml:space="preserve">TyG, </w:t>
      </w:r>
      <w:r>
        <w:rPr>
          <w:rFonts w:hint="default" w:ascii="Times New Roman" w:hAnsi="Times New Roman" w:cs="Times New Roman"/>
          <w:sz w:val="24"/>
          <w:szCs w:val="24"/>
        </w:rPr>
        <w:t>triglyceride glucose.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 Subgroup analysis for the association TyG index trajectories with CVD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855"/>
        <w:gridCol w:w="1909"/>
        <w:gridCol w:w="2263"/>
        <w:gridCol w:w="2202"/>
        <w:gridCol w:w="2045"/>
        <w:gridCol w:w="16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Variables 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Low-stable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Moderate-stable 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Elevated-decreasing 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Moderate-increasing</w:t>
            </w:r>
          </w:p>
        </w:tc>
        <w:tc>
          <w:tcPr>
            <w:tcW w:w="2051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Elevated-stable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-interaction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Age </w:t>
            </w:r>
          </w:p>
        </w:tc>
        <w:tc>
          <w:tcPr>
            <w:tcW w:w="1866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tcBorders>
              <w:top w:val="nil"/>
            </w:tcBorders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&lt;60 years</w:t>
            </w:r>
          </w:p>
        </w:tc>
        <w:tc>
          <w:tcPr>
            <w:tcW w:w="186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1.30(1.08-1.57)</w:t>
            </w:r>
          </w:p>
        </w:tc>
        <w:tc>
          <w:tcPr>
            <w:tcW w:w="226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1.88(1.37-2.58)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1.83(1.46-2.29)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2.40(1.76-3.27)</w:t>
            </w:r>
          </w:p>
        </w:tc>
        <w:tc>
          <w:tcPr>
            <w:tcW w:w="1661" w:type="dxa"/>
            <w:tcBorders>
              <w:top w:val="nil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0.1397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≥60 years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1.17(0.93-1.47)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0.84(0.50-1.40)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1.51(1.11-2.05)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2.24(1.34-3.73)</w:t>
            </w: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Sex 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5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Women 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1.49(0.88-2.52)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1.61(0.68-3.84)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1.43(0.76-2.70)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2.84(1.28-6.31)</w:t>
            </w: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Men  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1.22(1.05-1.42)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1.41(1.06-1.87)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1.73(1.43-2.09)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2.17(1.65-2.86)</w:t>
            </w: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Hypertension 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5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No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1.34(1.10-1.64)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1.70(1.12-2.58)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1.84(1.42-2.39)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2.56(1.71-3.82)</w:t>
            </w: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0.7677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Yes 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1.13(0.92-1.39)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1.22(0.86-1.74)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1.50(1.17-1.93)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1.87(1.33-2.63)</w:t>
            </w: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Diabetes 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5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1.22(1.06-1.42)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1.51(1.12-2.05)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1.67(1.38-2.02)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1.83(1.33-2.53)</w:t>
            </w:r>
          </w:p>
        </w:tc>
        <w:tc>
          <w:tcPr>
            <w:tcW w:w="0" w:type="auto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0.4031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1.67(0.91-3.08)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1.66(0.80-3.44)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2.18(1.15-4.14)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3.41(1.72-6.77)</w:t>
            </w:r>
          </w:p>
        </w:tc>
        <w:tc>
          <w:tcPr>
            <w:tcW w:w="0" w:type="auto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Dyslipidemia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1.20(1.02-1.40)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1.47(0.76-2.85)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1.76(1.42-2.19)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3.42(2.10-5.57)</w:t>
            </w:r>
          </w:p>
        </w:tc>
        <w:tc>
          <w:tcPr>
            <w:tcW w:w="0" w:type="auto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Reference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1.43(0.99-2.08)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1.55(1.02-2.36)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1.74(1.18-2.56)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2.22(1.45-3.39)</w:t>
            </w:r>
          </w:p>
        </w:tc>
        <w:tc>
          <w:tcPr>
            <w:tcW w:w="0" w:type="auto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Abbreviations: CVD, cardiovascular disease; TyG index, triglyceride-glucose index.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Adjusted for age, sex, </w:t>
      </w:r>
      <w:r>
        <w:rPr>
          <w:rFonts w:hint="default" w:ascii="Times New Roman" w:hAnsi="Times New Roman" w:cs="Times New Roman"/>
          <w:sz w:val="24"/>
          <w:szCs w:val="24"/>
        </w:rPr>
        <w:t xml:space="preserve">education, income, smoking status, drinking status, physical activity,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history of hypertension, diabetes, dyslipidemia, use of antihypertensive agents, 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>ntidiabetic agents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  <w:t xml:space="preserve">, lipid-lowering agents, </w:t>
      </w:r>
      <w:r>
        <w:rPr>
          <w:rFonts w:hint="default" w:ascii="Times New Roman" w:hAnsi="Times New Roman" w:cs="Times New Roman"/>
          <w:sz w:val="24"/>
          <w:szCs w:val="24"/>
        </w:rPr>
        <w:t>body mass index, systolic blood pressure, diastolic blood pressure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high-density lipoprotein cholesterol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low</w:t>
      </w:r>
      <w:r>
        <w:rPr>
          <w:rFonts w:hint="default" w:ascii="Times New Roman" w:hAnsi="Times New Roman" w:cs="Times New Roman"/>
          <w:sz w:val="24"/>
          <w:szCs w:val="24"/>
        </w:rPr>
        <w:t>-density lipoprotein cholesterol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and high sensitivity C-reactive protein other than variables for stratification.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. Association with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annual increase of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TyG index with risk of cardiovascular disease subtypes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3024"/>
        <w:gridCol w:w="2197"/>
        <w:gridCol w:w="2197"/>
        <w:gridCol w:w="2197"/>
        <w:gridCol w:w="21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Annual increase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rate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of TyG index from 2006 to 2010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nil"/>
            </w:tcBorders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Range, per 1 unit/year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&lt;-0.07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-0.07~ -0.01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-0.01~0.04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0.04~0.10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≥0.10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</w:tcBorders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Total stroke </w:t>
            </w:r>
          </w:p>
        </w:tc>
        <w:tc>
          <w:tcPr>
            <w:tcW w:w="236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1.12(0.94-1.35)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1.16(0.96-1.40)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1.23(1.04-1.46)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1.39(1.15-1.67)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Ischemic stroke</w:t>
            </w:r>
          </w:p>
        </w:tc>
        <w:tc>
          <w:tcPr>
            <w:tcW w:w="2362" w:type="dxa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Reference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1.08(0.89-1.32)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1.16(0.95-1.41)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1.23(1.03-1.47)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1.41(1.16-1.71)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Hemorrhagic stroke </w:t>
            </w:r>
          </w:p>
        </w:tc>
        <w:tc>
          <w:tcPr>
            <w:tcW w:w="2362" w:type="dxa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Reference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1.33(0.72-2.48)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1.44(0.82-2.52)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1.67(0.91-3.06)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1.90(0.98-3.33)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Myocardial infarction</w:t>
            </w:r>
          </w:p>
        </w:tc>
        <w:tc>
          <w:tcPr>
            <w:tcW w:w="2362" w:type="dxa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Reference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1.48(0.99-2.21)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5-2.33)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1.70(1.17-2.47)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1.79(1.21-2.66)</w:t>
            </w:r>
          </w:p>
        </w:tc>
      </w:tr>
    </w:tbl>
    <w:p>
      <w:pPr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Abbreviations: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TyG index, triglyceride-glucose index.</w:t>
      </w:r>
    </w:p>
    <w:p>
      <w:pPr>
        <w:spacing w:line="480" w:lineRule="auto"/>
        <w:jc w:val="left"/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Adjusted for age, sex, </w:t>
      </w:r>
      <w:r>
        <w:rPr>
          <w:rFonts w:hint="default" w:ascii="Times New Roman" w:hAnsi="Times New Roman" w:cs="Times New Roman"/>
          <w:sz w:val="24"/>
          <w:szCs w:val="24"/>
        </w:rPr>
        <w:t xml:space="preserve">education, income, smoking status, drinking status, physical activity,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history of hypertension, diabetes, dyslipidemia, use of antihypertensive agents, 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>ntidiabetic agents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  <w:t xml:space="preserve">, lipid-lowering agents, </w:t>
      </w:r>
      <w:r>
        <w:rPr>
          <w:rFonts w:hint="default" w:ascii="Times New Roman" w:hAnsi="Times New Roman" w:cs="Times New Roman"/>
          <w:sz w:val="24"/>
          <w:szCs w:val="24"/>
        </w:rPr>
        <w:t>body mass index, systolic blood pressure, diastolic blood pressure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high-density lipoprotein cholesterol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low</w:t>
      </w:r>
      <w:r>
        <w:rPr>
          <w:rFonts w:hint="default" w:ascii="Times New Roman" w:hAnsi="Times New Roman" w:cs="Times New Roman"/>
          <w:sz w:val="24"/>
          <w:szCs w:val="24"/>
        </w:rPr>
        <w:t>-density lipoprotein cholesterol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and high sensitivity C-reactive protein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val="en-US" w:eastAsia="zh-CN"/>
        </w:rPr>
        <w:t>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5190490" cy="3657600"/>
            <wp:effectExtent l="0" t="0" r="10160" b="0"/>
            <wp:docPr id="1" name="图片 1" descr="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lowchar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Figure S1. The flowchart of the study</w:t>
      </w:r>
    </w:p>
    <w:p>
      <w:pPr>
        <w:spacing w:line="48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Abbreviations: BMI, body mass index; FBG, fasting blood glucose; MI, myocardial infarction; TG, triglyceride; TyG index, triglyceride-glucose index.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5100955" cy="3827145"/>
            <wp:effectExtent l="0" t="0" r="4445" b="1905"/>
            <wp:docPr id="2" name="图片 2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S2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Multivariable-adjusted hazard ratios for cardiovascular diseases based on restricted cubic spines with4 knots at 5th, 35th, 65th, and 95th percentiles of annual increase of TyG index </w:t>
      </w:r>
      <w:r>
        <w:rPr>
          <w:rFonts w:ascii="Times New Roman" w:hAnsi="Times New Roman" w:cs="Times New Roman"/>
          <w:b/>
          <w:sz w:val="24"/>
          <w:szCs w:val="24"/>
        </w:rPr>
        <w:t>during 2006-2012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Abbreviations: TyG index, triglyceride-glucose index.</w:t>
      </w:r>
    </w:p>
    <w:p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Adjusted for age, sex, education, income, smoking status, drinking status, physical activity, history of hypertension, diabetes, dyslipidemia, use of antihypertensive agents, </w:t>
      </w:r>
      <w:r>
        <w:rPr>
          <w:rFonts w:ascii="Times New Roman" w:hAnsi="Times New Roman" w:eastAsia="等线"/>
          <w:color w:val="000000"/>
          <w:kern w:val="0"/>
          <w:sz w:val="24"/>
          <w:szCs w:val="24"/>
        </w:rPr>
        <w:t>antidiabetic agents, and lipid-lowering agents</w:t>
      </w:r>
      <w:r>
        <w:rPr>
          <w:rFonts w:ascii="Times New Roman" w:hAnsi="Times New Roman"/>
          <w:sz w:val="24"/>
          <w:szCs w:val="24"/>
        </w:rPr>
        <w:t>, body mass index, systolic blood pressure, diastolic blood pressure, high-density lipoprotein cholesterol, low-density lipoprotein cholesterol and high sensitivity C-reactive protein.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24F6"/>
    <w:rsid w:val="04880DF1"/>
    <w:rsid w:val="08D032C8"/>
    <w:rsid w:val="0A485BBD"/>
    <w:rsid w:val="0B037BE6"/>
    <w:rsid w:val="13EA3269"/>
    <w:rsid w:val="144F3235"/>
    <w:rsid w:val="20D154C2"/>
    <w:rsid w:val="21825E68"/>
    <w:rsid w:val="23AC3AA9"/>
    <w:rsid w:val="2CA24229"/>
    <w:rsid w:val="31D660E4"/>
    <w:rsid w:val="32306846"/>
    <w:rsid w:val="340A23BD"/>
    <w:rsid w:val="34CE7452"/>
    <w:rsid w:val="35C57711"/>
    <w:rsid w:val="380047CA"/>
    <w:rsid w:val="38616D93"/>
    <w:rsid w:val="3945178B"/>
    <w:rsid w:val="3EA93509"/>
    <w:rsid w:val="407D6085"/>
    <w:rsid w:val="44E02C33"/>
    <w:rsid w:val="4A392DEA"/>
    <w:rsid w:val="4AA73294"/>
    <w:rsid w:val="4CA56D9F"/>
    <w:rsid w:val="4DBC70A0"/>
    <w:rsid w:val="4DF02893"/>
    <w:rsid w:val="4E4614E9"/>
    <w:rsid w:val="559E0B10"/>
    <w:rsid w:val="588172C9"/>
    <w:rsid w:val="5D267B3F"/>
    <w:rsid w:val="5EAA708B"/>
    <w:rsid w:val="5EEC3C93"/>
    <w:rsid w:val="604A71A5"/>
    <w:rsid w:val="60BD4042"/>
    <w:rsid w:val="60D1089F"/>
    <w:rsid w:val="618B6F4B"/>
    <w:rsid w:val="643908F7"/>
    <w:rsid w:val="66600DCA"/>
    <w:rsid w:val="68003D7D"/>
    <w:rsid w:val="692E7E75"/>
    <w:rsid w:val="70712E8C"/>
    <w:rsid w:val="70CC5552"/>
    <w:rsid w:val="729374EF"/>
    <w:rsid w:val="72A17E3B"/>
    <w:rsid w:val="757267B1"/>
    <w:rsid w:val="791914D9"/>
    <w:rsid w:val="7F2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2021-05-31T07:08:00Z</dcterms:created>
  <dc:creator>Administrator.FZTL5QSZMTDNI1G</dc:creator>
  <cp:lastModifiedBy>Xue Tian</cp:lastModifiedBy>
  <dcterms:modified xsi:type="dcterms:W3CDTF">2021-06-22T08:30:53Z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A84451869D7B44A8991ED167A8BFC405</vt:lpwstr>
  </property>
</Properties>
</file>