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4F7" w:rsidRPr="00E10417" w:rsidRDefault="00A454F7" w:rsidP="00A454F7">
      <w:pPr>
        <w:spacing w:after="0" w:line="480" w:lineRule="auto"/>
        <w:ind w:left="-90"/>
        <w:jc w:val="both"/>
        <w:rPr>
          <w:rFonts w:asciiTheme="majorBidi" w:hAnsiTheme="majorBidi" w:cstheme="majorBidi"/>
          <w:color w:val="000000"/>
          <w:sz w:val="24"/>
          <w:szCs w:val="24"/>
          <w:lang w:val="en"/>
        </w:rPr>
      </w:pPr>
      <w:r w:rsidRPr="00E10417">
        <w:rPr>
          <w:rFonts w:ascii="Times New Roman" w:hAnsi="Times New Roman" w:cs="Times New Roman"/>
          <w:b/>
          <w:bCs/>
          <w:sz w:val="20"/>
          <w:szCs w:val="20"/>
        </w:rPr>
        <w:t xml:space="preserve">Table S1. </w:t>
      </w:r>
      <w:r w:rsidRPr="00E10417">
        <w:rPr>
          <w:rFonts w:ascii="Times New Roman" w:hAnsi="Times New Roman" w:cs="Times New Roman"/>
          <w:sz w:val="20"/>
          <w:szCs w:val="20"/>
        </w:rPr>
        <w:t>Oligonucleotide sequences used for amplification of the</w:t>
      </w:r>
      <w:r w:rsidRPr="00E10417">
        <w:rPr>
          <w:rFonts w:ascii="Times New Roman" w:hAnsi="Times New Roman" w:cs="Times New Roman"/>
          <w:i/>
          <w:iCs/>
          <w:sz w:val="20"/>
          <w:szCs w:val="20"/>
        </w:rPr>
        <w:t xml:space="preserve"> H. pylori </w:t>
      </w:r>
      <w:r w:rsidRPr="00E10417">
        <w:rPr>
          <w:rFonts w:ascii="Times New Roman" w:hAnsi="Times New Roman" w:cs="Times New Roman"/>
          <w:iCs/>
          <w:sz w:val="20"/>
          <w:szCs w:val="20"/>
        </w:rPr>
        <w:t>virulence</w:t>
      </w:r>
      <w:r w:rsidRPr="00E1041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E10417">
        <w:rPr>
          <w:rFonts w:ascii="Times New Roman" w:hAnsi="Times New Roman" w:cs="Times New Roman"/>
          <w:sz w:val="20"/>
          <w:szCs w:val="20"/>
        </w:rPr>
        <w:t>genes of interest.</w:t>
      </w:r>
    </w:p>
    <w:tbl>
      <w:tblPr>
        <w:tblW w:w="0" w:type="dxa"/>
        <w:jc w:val="center"/>
        <w:tblBorders>
          <w:top w:val="single" w:sz="4" w:space="0" w:color="000000"/>
          <w:bottom w:val="single" w:sz="4" w:space="0" w:color="000000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7"/>
        <w:gridCol w:w="1421"/>
        <w:gridCol w:w="3420"/>
        <w:gridCol w:w="1440"/>
        <w:gridCol w:w="1080"/>
        <w:gridCol w:w="900"/>
      </w:tblGrid>
      <w:tr w:rsidR="00A454F7" w:rsidRPr="00E10417" w:rsidTr="000852B3">
        <w:trPr>
          <w:jc w:val="center"/>
        </w:trPr>
        <w:tc>
          <w:tcPr>
            <w:tcW w:w="129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Target gene</w:t>
            </w: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Primer designation</w:t>
            </w:r>
          </w:p>
        </w:tc>
        <w:tc>
          <w:tcPr>
            <w:tcW w:w="342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Oligonucleotide sequence (5΄-3΄)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Annealing </w:t>
            </w:r>
            <w:r w:rsidRPr="00E1041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temperature (°C)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PCR product (</w:t>
            </w:r>
            <w:proofErr w:type="spellStart"/>
            <w:r w:rsidRPr="00E104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bp</w:t>
            </w:r>
            <w:proofErr w:type="spellEnd"/>
            <w:r w:rsidRPr="00E104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Reference</w:t>
            </w:r>
          </w:p>
        </w:tc>
      </w:tr>
      <w:tr w:rsidR="00A454F7" w:rsidRPr="00E10417" w:rsidTr="000852B3">
        <w:trPr>
          <w:trHeight w:val="288"/>
          <w:jc w:val="center"/>
        </w:trPr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 xml:space="preserve">16S </w:t>
            </w:r>
            <w:proofErr w:type="spellStart"/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rRNA</w:t>
            </w:r>
            <w:proofErr w:type="spellEnd"/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C97-20</w:t>
            </w:r>
          </w:p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H3A-20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GGCTATGACGGGTATCCGGC</w:t>
            </w:r>
          </w:p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GCCGTGCAGCACCTGTTTTC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764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&lt;EndNote&gt;&lt;Cite&gt;&lt;Author&gt;Yadegar&lt;/Author&gt;&lt;Year&gt;2014&lt;/Year&gt;&lt;RecNum&gt;341&lt;/RecNum&gt;&lt;DisplayText&gt;[38]&lt;/DisplayText&gt;&lt;record&gt;&lt;rec-number&gt;341&lt;/rec-number&gt;&lt;foreign-keys&gt;&lt;key app="EN" db-id="sppdsrzf32vddje95pjxrdf0faxt5eavs5x5" timestamp="1503790208"&gt;341&lt;/key&gt;&lt;/foreign-keys&gt;&lt;ref-type name="Journal Article"&gt;17&lt;/ref-type&gt;&lt;contributors&gt;&lt;authors&gt;&lt;author&gt;Yadegar, Abbas&lt;/author&gt;&lt;author&gt;Mobarez, Ashraf Mohabati&lt;/author&gt;&lt;author&gt;Alebouyeh, Masoud&lt;/author&gt;&lt;author&gt;Mirzaei, Tabassom&lt;/author&gt;&lt;author&gt;Kwok, Terry&lt;/author&gt;&lt;author&gt;Zali, Mohammad Reza&lt;/author&gt;&lt;/authors&gt;&lt;/contributors&gt;&lt;titles&gt;&lt;title&gt;Clinical relevance of cagL gene and virulence genotypes with disease outcomes in a Helicobacter pylori infected population from Iran&lt;/title&gt;&lt;secondary-title&gt;World Journal of Microbiology and Biotechnology&lt;/secondary-title&gt;&lt;/titles&gt;&lt;periodical&gt;&lt;full-title&gt;World Journal of Microbiology and Biotechnology&lt;/full-title&gt;&lt;/periodical&gt;&lt;pages&gt;2481-2490&lt;/pages&gt;&lt;volume&gt;30&lt;/volume&gt;&lt;number&gt;9&lt;/number&gt;&lt;dates&gt;&lt;year&gt;2014&lt;/year&gt;&lt;/dates&gt;&lt;isbn&gt;0959-3993&lt;/isbn&gt;&lt;urls&gt;&lt;/urls&gt;&lt;/record&gt;&lt;/Cite&gt;&lt;/EndNote&gt;</w:instrText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E10417">
              <w:rPr>
                <w:rFonts w:ascii="Times New Roman" w:hAnsi="Times New Roman" w:cs="Times New Roman"/>
                <w:noProof/>
                <w:sz w:val="16"/>
                <w:szCs w:val="16"/>
              </w:rPr>
              <w:t>[38]</w:t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A454F7" w:rsidRPr="00E10417" w:rsidTr="000852B3">
        <w:trPr>
          <w:trHeight w:val="288"/>
          <w:jc w:val="center"/>
        </w:trPr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1041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glmM</w:t>
            </w:r>
            <w:proofErr w:type="spellEnd"/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GlmM2-F</w:t>
            </w:r>
          </w:p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GlmM1-R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GGATAAGCTTTTAGGGGTGTTAGGGG</w:t>
            </w:r>
          </w:p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GCTTACTTTCTAACACTAACGCGC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296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&lt;EndNote&gt;&lt;Cite&gt;&lt;Author&gt;Yadegar&lt;/Author&gt;&lt;Year&gt;2014&lt;/Year&gt;&lt;RecNum&gt;341&lt;/RecNum&gt;&lt;DisplayText&gt;[38]&lt;/DisplayText&gt;&lt;record&gt;&lt;rec-number&gt;341&lt;/rec-number&gt;&lt;foreign-keys&gt;&lt;key app="EN" db-id="sppdsrzf32vddje95pjxrdf0faxt5eavs5x5" timestamp="1503790208"&gt;341&lt;/key&gt;&lt;/foreign-keys&gt;&lt;ref-type name="Journal Article"&gt;17&lt;/ref-type&gt;&lt;contributors&gt;&lt;authors&gt;&lt;author&gt;Yadegar, Abbas&lt;/author&gt;&lt;author&gt;Mobarez, Ashraf Mohabati&lt;/author&gt;&lt;author&gt;Alebouyeh, Masoud&lt;/author&gt;&lt;author&gt;Mirzaei, Tabassom&lt;/author&gt;&lt;author&gt;Kwok, Terry&lt;/author&gt;&lt;author&gt;Zali, Mohammad Reza&lt;/author&gt;&lt;/authors&gt;&lt;/contributors&gt;&lt;titles&gt;&lt;title&gt;Clinical relevance of cagL gene and virulence genotypes with disease outcomes in a Helicobacter pylori infected population from Iran&lt;/title&gt;&lt;secondary-title&gt;World Journal of Microbiology and Biotechnology&lt;/secondary-title&gt;&lt;/titles&gt;&lt;periodical&gt;&lt;full-title&gt;World Journal of Microbiology and Biotechnology&lt;/full-title&gt;&lt;/periodical&gt;&lt;pages&gt;2481-2490&lt;/pages&gt;&lt;volume&gt;30&lt;/volume&gt;&lt;number&gt;9&lt;/number&gt;&lt;dates&gt;&lt;year&gt;2014&lt;/year&gt;&lt;/dates&gt;&lt;isbn&gt;0959-3993&lt;/isbn&gt;&lt;urls&gt;&lt;/urls&gt;&lt;/record&gt;&lt;/Cite&gt;&lt;/EndNote&gt;</w:instrText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E10417">
              <w:rPr>
                <w:rFonts w:ascii="Times New Roman" w:hAnsi="Times New Roman" w:cs="Times New Roman"/>
                <w:noProof/>
                <w:sz w:val="16"/>
                <w:szCs w:val="16"/>
              </w:rPr>
              <w:t>[38]</w:t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A454F7" w:rsidRPr="00E10417" w:rsidTr="000852B3">
        <w:trPr>
          <w:trHeight w:val="288"/>
          <w:jc w:val="center"/>
        </w:trPr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E1041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cagL</w:t>
            </w:r>
            <w:proofErr w:type="spellEnd"/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cagL-B4</w:t>
            </w:r>
          </w:p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cagL-B5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GCAGAATTCATAACAAGCGGCTTAAAG</w:t>
            </w:r>
          </w:p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ATTAGAATTCATAGCCTATCGTCTCAG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695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&lt;EndNote&gt;&lt;Cite&gt;&lt;Author&gt;Yadegar&lt;/Author&gt;&lt;Year&gt;2014&lt;/Year&gt;&lt;RecNum&gt;341&lt;/RecNum&gt;&lt;DisplayText&gt;[38]&lt;/DisplayText&gt;&lt;record&gt;&lt;rec-number&gt;341&lt;/rec-number&gt;&lt;foreign-keys&gt;&lt;key app="EN" db-id="sppdsrzf32vddje95pjxrdf0faxt5eavs5x5" timestamp="1503790208"&gt;341&lt;/key&gt;&lt;/foreign-keys&gt;&lt;ref-type name="Journal Article"&gt;17&lt;/ref-type&gt;&lt;contributors&gt;&lt;authors&gt;&lt;author&gt;Yadegar, Abbas&lt;/author&gt;&lt;author&gt;Mobarez, Ashraf Mohabati&lt;/author&gt;&lt;author&gt;Alebouyeh, Masoud&lt;/author&gt;&lt;author&gt;Mirzaei, Tabassom&lt;/author&gt;&lt;author&gt;Kwok, Terry&lt;/author&gt;&lt;author&gt;Zali, Mohammad Reza&lt;/author&gt;&lt;/authors&gt;&lt;/contributors&gt;&lt;titles&gt;&lt;title&gt;Clinical relevance of cagL gene and virulence genotypes with disease outcomes in a Helicobacter pylori infected population from Iran&lt;/title&gt;&lt;secondary-title&gt;World Journal of Microbiology and Biotechnology&lt;/secondary-title&gt;&lt;/titles&gt;&lt;periodical&gt;&lt;full-title&gt;World Journal of Microbiology and Biotechnology&lt;/full-title&gt;&lt;/periodical&gt;&lt;pages&gt;2481-2490&lt;/pages&gt;&lt;volume&gt;30&lt;/volume&gt;&lt;number&gt;9&lt;/number&gt;&lt;dates&gt;&lt;year&gt;2014&lt;/year&gt;&lt;/dates&gt;&lt;isbn&gt;0959-3993&lt;/isbn&gt;&lt;urls&gt;&lt;/urls&gt;&lt;/record&gt;&lt;/Cite&gt;&lt;/EndNote&gt;</w:instrText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E10417">
              <w:rPr>
                <w:rFonts w:ascii="Times New Roman" w:hAnsi="Times New Roman" w:cs="Times New Roman"/>
                <w:noProof/>
                <w:sz w:val="16"/>
                <w:szCs w:val="16"/>
              </w:rPr>
              <w:t>[38]</w:t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A454F7" w:rsidRPr="00E10417" w:rsidTr="000852B3">
        <w:trPr>
          <w:trHeight w:val="288"/>
          <w:jc w:val="center"/>
        </w:trPr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1041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cagA</w:t>
            </w:r>
            <w:proofErr w:type="spellEnd"/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93089</w:t>
            </w:r>
          </w:p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93261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AATACACCAACGCCTCCAAG</w:t>
            </w:r>
          </w:p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TTGTTGCCGCTTTTGCTCTC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&lt;EndNote&gt;&lt;Cite&gt;&lt;Author&gt;Yadegar&lt;/Author&gt;&lt;Year&gt;2014&lt;/Year&gt;&lt;RecNum&gt;341&lt;/RecNum&gt;&lt;DisplayText&gt;[38]&lt;/DisplayText&gt;&lt;record&gt;&lt;rec-number&gt;341&lt;/rec-number&gt;&lt;foreign-keys&gt;&lt;key app="EN" db-id="sppdsrzf32vddje95pjxrdf0faxt5eavs5x5" timestamp="1503790208"&gt;341&lt;/key&gt;&lt;/foreign-keys&gt;&lt;ref-type name="Journal Article"&gt;17&lt;/ref-type&gt;&lt;contributors&gt;&lt;authors&gt;&lt;author&gt;Yadegar, Abbas&lt;/author&gt;&lt;author&gt;Mobarez, Ashraf Mohabati&lt;/author&gt;&lt;author&gt;Alebouyeh, Masoud&lt;/author&gt;&lt;author&gt;Mirzaei, Tabassom&lt;/author&gt;&lt;author&gt;Kwok, Terry&lt;/author&gt;&lt;author&gt;Zali, Mohammad Reza&lt;/author&gt;&lt;/authors&gt;&lt;/contributors&gt;&lt;titles&gt;&lt;title&gt;Clinical relevance of cagL gene and virulence genotypes with disease outcomes in a Helicobacter pylori infected population from Iran&lt;/title&gt;&lt;secondary-title&gt;World Journal of Microbiology and Biotechnology&lt;/secondary-title&gt;&lt;/titles&gt;&lt;periodical&gt;&lt;full-title&gt;World Journal of Microbiology and Biotechnology&lt;/full-title&gt;&lt;/periodical&gt;&lt;pages&gt;2481-2490&lt;/pages&gt;&lt;volume&gt;30&lt;/volume&gt;&lt;number&gt;9&lt;/number&gt;&lt;dates&gt;&lt;year&gt;2014&lt;/year&gt;&lt;/dates&gt;&lt;isbn&gt;0959-3993&lt;/isbn&gt;&lt;urls&gt;&lt;/urls&gt;&lt;/record&gt;&lt;/Cite&gt;&lt;/EndNote&gt;</w:instrText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E10417">
              <w:rPr>
                <w:rFonts w:ascii="Times New Roman" w:hAnsi="Times New Roman" w:cs="Times New Roman"/>
                <w:noProof/>
                <w:sz w:val="16"/>
                <w:szCs w:val="16"/>
              </w:rPr>
              <w:t>[38]</w:t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A454F7" w:rsidRPr="00E10417" w:rsidTr="000852B3">
        <w:trPr>
          <w:trHeight w:val="288"/>
          <w:jc w:val="center"/>
        </w:trPr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1041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vacA</w:t>
            </w:r>
            <w:proofErr w:type="spellEnd"/>
            <w:r w:rsidRPr="00E10417">
              <w:rPr>
                <w:rFonts w:ascii="Times New Roman" w:hAnsi="Times New Roman" w:cs="Times New Roman"/>
                <w:sz w:val="16"/>
                <w:szCs w:val="16"/>
              </w:rPr>
              <w:t xml:space="preserve"> s1/s2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VA1-F</w:t>
            </w:r>
          </w:p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VA1-R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ATGGAAATACAACAAACACAC</w:t>
            </w:r>
          </w:p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CTGCTTGAATGCGCCAAAC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259/286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&lt;EndNote&gt;&lt;Cite&gt;&lt;Author&gt;Yadegar&lt;/Author&gt;&lt;Year&gt;2014&lt;/Year&gt;&lt;RecNum&gt;341&lt;/RecNum&gt;&lt;DisplayText&gt;[38]&lt;/DisplayText&gt;&lt;record&gt;&lt;rec-number&gt;341&lt;/rec-number&gt;&lt;foreign-keys&gt;&lt;key app="EN" db-id="sppdsrzf32vddje95pjxrdf0faxt5eavs5x5" timestamp="1503790208"&gt;341&lt;/key&gt;&lt;/foreign-keys&gt;&lt;ref-type name="Journal Article"&gt;17&lt;/ref-type&gt;&lt;contributors&gt;&lt;authors&gt;&lt;author&gt;Yadegar, Abbas&lt;/author&gt;&lt;author&gt;Mobarez, Ashraf Mohabati&lt;/author&gt;&lt;author&gt;Alebouyeh, Masoud&lt;/author&gt;&lt;author&gt;Mirzaei, Tabassom&lt;/author&gt;&lt;author&gt;Kwok, Terry&lt;/author&gt;&lt;author&gt;Zali, Mohammad Reza&lt;/author&gt;&lt;/authors&gt;&lt;/contributors&gt;&lt;titles&gt;&lt;title&gt;Clinical relevance of cagL gene and virulence genotypes with disease outcomes in a Helicobacter pylori infected population from Iran&lt;/title&gt;&lt;secondary-title&gt;World Journal of Microbiology and Biotechnology&lt;/secondary-title&gt;&lt;/titles&gt;&lt;periodical&gt;&lt;full-title&gt;World Journal of Microbiology and Biotechnology&lt;/full-title&gt;&lt;/periodical&gt;&lt;pages&gt;2481-2490&lt;/pages&gt;&lt;volume&gt;30&lt;/volume&gt;&lt;number&gt;9&lt;/number&gt;&lt;dates&gt;&lt;year&gt;2014&lt;/year&gt;&lt;/dates&gt;&lt;isbn&gt;0959-3993&lt;/isbn&gt;&lt;urls&gt;&lt;/urls&gt;&lt;/record&gt;&lt;/Cite&gt;&lt;/EndNote&gt;</w:instrText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E10417">
              <w:rPr>
                <w:rFonts w:ascii="Times New Roman" w:hAnsi="Times New Roman" w:cs="Times New Roman"/>
                <w:noProof/>
                <w:sz w:val="16"/>
                <w:szCs w:val="16"/>
              </w:rPr>
              <w:t>[38]</w:t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A454F7" w:rsidRPr="00E10417" w:rsidTr="000852B3">
        <w:trPr>
          <w:trHeight w:val="288"/>
          <w:jc w:val="center"/>
        </w:trPr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1041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vacA</w:t>
            </w:r>
            <w:proofErr w:type="spellEnd"/>
            <w:r w:rsidRPr="00E10417">
              <w:rPr>
                <w:rFonts w:ascii="Times New Roman" w:hAnsi="Times New Roman" w:cs="Times New Roman"/>
                <w:sz w:val="16"/>
                <w:szCs w:val="16"/>
              </w:rPr>
              <w:t xml:space="preserve"> m1/m2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VAG-F</w:t>
            </w:r>
          </w:p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VAG-R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CAATCTGTCCAATCAAGCGAG</w:t>
            </w:r>
          </w:p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GCGTCAAAATAATTCCAAGG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570/645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&lt;EndNote&gt;&lt;Cite&gt;&lt;Author&gt;Yadegar&lt;/Author&gt;&lt;Year&gt;2014&lt;/Year&gt;&lt;RecNum&gt;341&lt;/RecNum&gt;&lt;DisplayText&gt;[38]&lt;/DisplayText&gt;&lt;record&gt;&lt;rec-number&gt;341&lt;/rec-number&gt;&lt;foreign-keys&gt;&lt;key app="EN" db-id="sppdsrzf32vddje95pjxrdf0faxt5eavs5x5" timestamp="1503790208"&gt;341&lt;/key&gt;&lt;/foreign-keys&gt;&lt;ref-type name="Journal Article"&gt;17&lt;/ref-type&gt;&lt;contributors&gt;&lt;authors&gt;&lt;author&gt;Yadegar, Abbas&lt;/author&gt;&lt;author&gt;Mobarez, Ashraf Mohabati&lt;/author&gt;&lt;author&gt;Alebouyeh, Masoud&lt;/author&gt;&lt;author&gt;Mirzaei, Tabassom&lt;/author&gt;&lt;author&gt;Kwok, Terry&lt;/author&gt;&lt;author&gt;Zali, Mohammad Reza&lt;/author&gt;&lt;/authors&gt;&lt;/contributors&gt;&lt;titles&gt;&lt;title&gt;Clinical relevance of cagL gene and virulence genotypes with disease outcomes in a Helicobacter pylori infected population from Iran&lt;/title&gt;&lt;secondary-title&gt;World Journal of Microbiology and Biotechnology&lt;/secondary-title&gt;&lt;/titles&gt;&lt;periodical&gt;&lt;full-title&gt;World Journal of Microbiology and Biotechnology&lt;/full-title&gt;&lt;/periodical&gt;&lt;pages&gt;2481-2490&lt;/pages&gt;&lt;volume&gt;30&lt;/volume&gt;&lt;number&gt;9&lt;/number&gt;&lt;dates&gt;&lt;year&gt;2014&lt;/year&gt;&lt;/dates&gt;&lt;isbn&gt;0959-3993&lt;/isbn&gt;&lt;urls&gt;&lt;/urls&gt;&lt;/record&gt;&lt;/Cite&gt;&lt;/EndNote&gt;</w:instrText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E10417">
              <w:rPr>
                <w:rFonts w:ascii="Times New Roman" w:hAnsi="Times New Roman" w:cs="Times New Roman"/>
                <w:noProof/>
                <w:sz w:val="16"/>
                <w:szCs w:val="16"/>
              </w:rPr>
              <w:t>[38]</w:t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A454F7" w:rsidRPr="00E10417" w:rsidTr="000852B3">
        <w:trPr>
          <w:trHeight w:val="288"/>
          <w:jc w:val="center"/>
        </w:trPr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babA2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bab7-F</w:t>
            </w:r>
          </w:p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bab7-R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CCAAACGAAACAAAAAGCGT</w:t>
            </w:r>
          </w:p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GCTTGTGTAAAAGCCGTCGT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271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&lt;EndNote&gt;&lt;Cite&gt;&lt;Author&gt;Farzi&lt;/Author&gt;&lt;Year&gt;2019&lt;/Year&gt;&lt;RecNum&gt;43&lt;/RecNum&gt;&lt;DisplayText&gt;[45]&lt;/DisplayText&gt;&lt;record&gt;&lt;rec-number&gt;46&lt;/rec-number&gt;&lt;foreign-keys&gt;&lt;key app="EN" db-id="vwdzwzfr4ez5pge0arapvpwfeaf9daetfvd0" timestamp="1598020683"&gt;46&lt;/key&gt;&lt;/foreign-keys&gt;&lt;ref-type name="Journal Article"&gt;17&lt;/ref-type&gt;&lt;contributors&gt;&lt;authors&gt;&lt;author&gt;Farzi, Nastaran&lt;/author&gt;&lt;author&gt;Yadegar, Abbas&lt;/author&gt;&lt;author&gt;Sadeghi, Amir&lt;/author&gt;&lt;author&gt;Asadzadeh Aghdaei, Hamid&lt;/author&gt;&lt;author&gt;Marian Smith, Sinéad&lt;/author&gt;&lt;author&gt;Raymond, Josette&lt;/author&gt;&lt;author&gt;Suzuki, Hidekazu&lt;/author&gt;&lt;author&gt;Zali, Mohammad Reza&lt;/author&gt;&lt;/authors&gt;&lt;/contributors&gt;&lt;titles&gt;&lt;title&gt;High prevalence of antibiotic resistance in Iranian Helicobacter pylori Isolates: importance of functional and mutational analysis of resistance genes and virulence genotyping&lt;/title&gt;&lt;secondary-title&gt;Journal of clinical medicine&lt;/secondary-title&gt;&lt;/titles&gt;&lt;periodical&gt;&lt;full-title&gt;Journal of clinical medicine&lt;/full-title&gt;&lt;/periodical&gt;&lt;pages&gt;2004&lt;/pages&gt;&lt;volume&gt;8&lt;/volume&gt;&lt;number&gt;11&lt;/number&gt;&lt;dates&gt;&lt;year&gt;2019&lt;/year&gt;&lt;/dates&gt;&lt;urls&gt;&lt;/urls&gt;&lt;/record&gt;&lt;/Cite&gt;&lt;/EndNote&gt;</w:instrText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E10417">
              <w:rPr>
                <w:rFonts w:ascii="Times New Roman" w:hAnsi="Times New Roman" w:cs="Times New Roman"/>
                <w:noProof/>
                <w:sz w:val="16"/>
                <w:szCs w:val="16"/>
              </w:rPr>
              <w:t>[39]</w:t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A454F7" w:rsidRPr="00E10417" w:rsidTr="000852B3">
        <w:trPr>
          <w:trHeight w:val="60"/>
          <w:jc w:val="center"/>
        </w:trPr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E1041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sabA</w:t>
            </w:r>
            <w:proofErr w:type="spellEnd"/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F1-HP726-jhp663</w:t>
            </w:r>
          </w:p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R1-HP725-jhp662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TTTTTGTCAGCTACGCGTTC</w:t>
            </w:r>
          </w:p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ACCGAAGTGATAACGGCTTG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487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&lt;EndNote&gt;&lt;Cite&gt;&lt;Author&gt;Farzi&lt;/Author&gt;&lt;Year&gt;2019&lt;/Year&gt;&lt;RecNum&gt;43&lt;/RecNum&gt;&lt;DisplayText&gt;[45]&lt;/DisplayText&gt;&lt;record&gt;&lt;rec-number&gt;46&lt;/rec-number&gt;&lt;foreign-keys&gt;&lt;key app="EN" db-id="vwdzwzfr4ez5pge0arapvpwfeaf9daetfvd0" timestamp="1598020683"&gt;46&lt;/key&gt;&lt;/foreign-keys&gt;&lt;ref-type name="Journal Article"&gt;17&lt;/ref-type&gt;&lt;contributors&gt;&lt;authors&gt;&lt;author&gt;Farzi, Nastaran&lt;/author&gt;&lt;author&gt;Yadegar, Abbas&lt;/author&gt;&lt;author&gt;Sadeghi, Amir&lt;/author&gt;&lt;author&gt;Asadzadeh Aghdaei, Hamid&lt;/author&gt;&lt;author&gt;Marian Smith, Sinéad&lt;/author&gt;&lt;author&gt;Raymond, Josette&lt;/author&gt;&lt;author&gt;Suzuki, Hidekazu&lt;/author&gt;&lt;author&gt;Zali, Mohammad Reza&lt;/author&gt;&lt;/authors&gt;&lt;/contributors&gt;&lt;titles&gt;&lt;title&gt;High prevalence of antibiotic resistance in Iranian Helicobacter pylori Isolates: importance of functional and mutational analysis of resistance genes and virulence genotyping&lt;/title&gt;&lt;secondary-title&gt;Journal of clinical medicine&lt;/secondary-title&gt;&lt;/titles&gt;&lt;periodical&gt;&lt;full-title&gt;Journal of clinical medicine&lt;/full-title&gt;&lt;/periodical&gt;&lt;pages&gt;2004&lt;/pages&gt;&lt;volume&gt;8&lt;/volume&gt;&lt;number&gt;11&lt;/number&gt;&lt;dates&gt;&lt;year&gt;2019&lt;/year&gt;&lt;/dates&gt;&lt;urls&gt;&lt;/urls&gt;&lt;/record&gt;&lt;/Cite&gt;&lt;/EndNote&gt;</w:instrText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E10417">
              <w:rPr>
                <w:rFonts w:ascii="Times New Roman" w:hAnsi="Times New Roman" w:cs="Times New Roman"/>
                <w:noProof/>
                <w:sz w:val="16"/>
                <w:szCs w:val="16"/>
              </w:rPr>
              <w:t>[39]</w:t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A454F7" w:rsidRPr="00E10417" w:rsidTr="000852B3">
        <w:trPr>
          <w:trHeight w:val="288"/>
          <w:jc w:val="center"/>
        </w:trPr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E1041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dupA</w:t>
            </w:r>
            <w:proofErr w:type="spellEnd"/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DupA</w:t>
            </w:r>
            <w:proofErr w:type="spellEnd"/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-F</w:t>
            </w:r>
          </w:p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DupA</w:t>
            </w:r>
            <w:proofErr w:type="spellEnd"/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ATTCACGCCTAAGACCTCA</w:t>
            </w:r>
          </w:p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CTGAGAAGCCTTATTATCTTGTTGG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581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&lt;EndNote&gt;&lt;Cite&gt;&lt;Author&gt;Farzi&lt;/Author&gt;&lt;Year&gt;2019&lt;/Year&gt;&lt;RecNum&gt;43&lt;/RecNum&gt;&lt;DisplayText&gt;[45]&lt;/DisplayText&gt;&lt;record&gt;&lt;rec-number&gt;46&lt;/rec-number&gt;&lt;foreign-keys&gt;&lt;key app="EN" db-id="vwdzwzfr4ez5pge0arapvpwfeaf9daetfvd0" timestamp="1598020683"&gt;46&lt;/key&gt;&lt;/foreign-keys&gt;&lt;ref-type name="Journal Article"&gt;17&lt;/ref-type&gt;&lt;contributors&gt;&lt;authors&gt;&lt;author&gt;Farzi, Nastaran&lt;/author&gt;&lt;author&gt;Yadegar, Abbas&lt;/author&gt;&lt;author&gt;Sadeghi, Amir&lt;/author&gt;&lt;author&gt;Asadzadeh Aghdaei, Hamid&lt;/author&gt;&lt;author&gt;Marian Smith, Sinéad&lt;/author&gt;&lt;author&gt;Raymond, Josette&lt;/author&gt;&lt;author&gt;Suzuki, Hidekazu&lt;/author&gt;&lt;author&gt;Zali, Mohammad Reza&lt;/author&gt;&lt;/authors&gt;&lt;/contributors&gt;&lt;titles&gt;&lt;title&gt;High prevalence of antibiotic resistance in Iranian Helicobacter pylori Isolates: importance of functional and mutational analysis of resistance genes and virulence genotyping&lt;/title&gt;&lt;secondary-title&gt;Journal of clinical medicine&lt;/secondary-title&gt;&lt;/titles&gt;&lt;periodical&gt;&lt;full-title&gt;Journal of clinical medicine&lt;/full-title&gt;&lt;/periodical&gt;&lt;pages&gt;2004&lt;/pages&gt;&lt;volume&gt;8&lt;/volume&gt;&lt;number&gt;11&lt;/number&gt;&lt;dates&gt;&lt;year&gt;2019&lt;/year&gt;&lt;/dates&gt;&lt;urls&gt;&lt;/urls&gt;&lt;/record&gt;&lt;/Cite&gt;&lt;/EndNote&gt;</w:instrText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E10417">
              <w:rPr>
                <w:rFonts w:ascii="Times New Roman" w:hAnsi="Times New Roman" w:cs="Times New Roman"/>
                <w:noProof/>
                <w:sz w:val="16"/>
                <w:szCs w:val="16"/>
              </w:rPr>
              <w:t>[39]</w:t>
            </w:r>
            <w:r w:rsidRPr="00E10417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</w:tbl>
    <w:p w:rsidR="00A454F7" w:rsidRPr="00E10417" w:rsidRDefault="00A454F7" w:rsidP="00A454F7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454F7" w:rsidRPr="00E10417" w:rsidRDefault="00A454F7">
      <w:pPr>
        <w:spacing w:after="160" w:line="259" w:lineRule="auto"/>
      </w:pPr>
      <w:r w:rsidRPr="00E10417">
        <w:br w:type="page"/>
      </w:r>
    </w:p>
    <w:p w:rsidR="00A454F7" w:rsidRPr="00E10417" w:rsidRDefault="00A454F7" w:rsidP="00A454F7">
      <w:pPr>
        <w:spacing w:after="0"/>
        <w:ind w:right="12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1041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Table S2. </w:t>
      </w:r>
      <w:r w:rsidRPr="00E10417">
        <w:rPr>
          <w:rFonts w:ascii="Times New Roman" w:hAnsi="Times New Roman" w:cs="Times New Roman"/>
          <w:sz w:val="20"/>
          <w:szCs w:val="20"/>
        </w:rPr>
        <w:t xml:space="preserve">Demographic data and clinical characteristics of patients colonized with </w:t>
      </w:r>
      <w:r w:rsidRPr="00E10417">
        <w:rPr>
          <w:rFonts w:ascii="Times New Roman" w:hAnsi="Times New Roman" w:cs="Times New Roman"/>
          <w:i/>
          <w:iCs/>
          <w:sz w:val="20"/>
          <w:szCs w:val="20"/>
        </w:rPr>
        <w:t>H. pylori</w:t>
      </w:r>
      <w:r w:rsidRPr="00E10417">
        <w:rPr>
          <w:rFonts w:ascii="Times New Roman" w:hAnsi="Times New Roman" w:cs="Times New Roman"/>
          <w:sz w:val="20"/>
          <w:szCs w:val="20"/>
        </w:rPr>
        <w:t xml:space="preserve"> strains (</w:t>
      </w:r>
      <w:r w:rsidRPr="00E1041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E10417">
        <w:rPr>
          <w:rFonts w:ascii="Times New Roman" w:hAnsi="Times New Roman" w:cs="Times New Roman"/>
          <w:sz w:val="20"/>
          <w:szCs w:val="20"/>
        </w:rPr>
        <w:t>=70) in this study.</w:t>
      </w:r>
    </w:p>
    <w:tbl>
      <w:tblPr>
        <w:tblW w:w="8118" w:type="dxa"/>
        <w:tblBorders>
          <w:top w:val="single" w:sz="2" w:space="0" w:color="000000"/>
          <w:bottom w:val="single" w:sz="2" w:space="0" w:color="000000"/>
        </w:tblBorders>
        <w:tblLook w:val="04A0" w:firstRow="1" w:lastRow="0" w:firstColumn="1" w:lastColumn="0" w:noHBand="0" w:noVBand="1"/>
      </w:tblPr>
      <w:tblGrid>
        <w:gridCol w:w="468"/>
        <w:gridCol w:w="990"/>
        <w:gridCol w:w="1260"/>
        <w:gridCol w:w="990"/>
        <w:gridCol w:w="1080"/>
        <w:gridCol w:w="1620"/>
        <w:gridCol w:w="1710"/>
      </w:tblGrid>
      <w:tr w:rsidR="00A454F7" w:rsidRPr="00E10417" w:rsidTr="000852B3">
        <w:tc>
          <w:tcPr>
            <w:tcW w:w="4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No.</w:t>
            </w:r>
          </w:p>
        </w:tc>
        <w:tc>
          <w:tcPr>
            <w:tcW w:w="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Strains</w:t>
            </w:r>
          </w:p>
        </w:tc>
        <w:tc>
          <w:tcPr>
            <w:tcW w:w="12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Clinical status</w:t>
            </w:r>
          </w:p>
        </w:tc>
        <w:tc>
          <w:tcPr>
            <w:tcW w:w="9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Gender</w:t>
            </w:r>
          </w:p>
        </w:tc>
        <w:tc>
          <w:tcPr>
            <w:tcW w:w="10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Age (years)</w:t>
            </w:r>
          </w:p>
        </w:tc>
        <w:tc>
          <w:tcPr>
            <w:tcW w:w="1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</w:pPr>
            <w:proofErr w:type="spellStart"/>
            <w:r w:rsidRPr="00E10417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cagI</w:t>
            </w:r>
            <w:proofErr w:type="spellEnd"/>
            <w:r w:rsidRPr="00E104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104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GenBank</w:t>
            </w:r>
            <w:proofErr w:type="spellEnd"/>
            <w:r w:rsidRPr="00E104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104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no.</w:t>
            </w:r>
            <w:r w:rsidRPr="00E10417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proofErr w:type="spellStart"/>
            <w:r w:rsidRPr="00E10417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cagN</w:t>
            </w:r>
            <w:proofErr w:type="spellEnd"/>
            <w:r w:rsidRPr="00E104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104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GenBank</w:t>
            </w:r>
            <w:proofErr w:type="spellEnd"/>
            <w:r w:rsidRPr="00E104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no.</w:t>
            </w:r>
          </w:p>
        </w:tc>
      </w:tr>
      <w:tr w:rsidR="00A454F7" w:rsidRPr="00E10417" w:rsidTr="000852B3">
        <w:tc>
          <w:tcPr>
            <w:tcW w:w="468" w:type="dxa"/>
            <w:tcBorders>
              <w:top w:val="single" w:sz="2" w:space="0" w:color="000000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0" w:type="dxa"/>
            <w:tcBorders>
              <w:top w:val="single" w:sz="2" w:space="0" w:color="000000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HC3</w:t>
            </w:r>
          </w:p>
        </w:tc>
        <w:tc>
          <w:tcPr>
            <w:tcW w:w="1260" w:type="dxa"/>
            <w:tcBorders>
              <w:top w:val="single" w:sz="2" w:space="0" w:color="000000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single" w:sz="2" w:space="0" w:color="000000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single" w:sz="2" w:space="0" w:color="000000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620" w:type="dxa"/>
            <w:tcBorders>
              <w:top w:val="single" w:sz="2" w:space="0" w:color="000000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proofErr w:type="spellStart"/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Negative</w:t>
            </w:r>
            <w:r w:rsidRPr="00E10417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710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MG573078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MG559675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MG573079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MG559676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HC114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Negative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OC149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MG573080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HC168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proofErr w:type="spellStart"/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  <w:r w:rsidRPr="00E10417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HC175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Negative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OC175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MG573081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MG559677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OC179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GC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MG559678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OC180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IM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Negative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OC217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Negative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Negative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OC235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OC245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IM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Negative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OC250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OC485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MG559679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OC494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MG573082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MG559680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OC505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OC557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Negative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Negative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OC562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MG573083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OC571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Negative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MG559681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OC573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MG573084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MG559682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OC576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MG573085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MG559683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OC606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MG559684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OC639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Negative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MG559685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OC656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MG559686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OC658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MG559687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OC661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MG573086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MG559688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OC688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IM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MG573087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MG559689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MG573088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MG559718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MG559690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OC728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MG559691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OC731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MG573089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OC734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MG573090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MG559692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OC743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Negative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MG559693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OC749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MG559694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OC751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MG573091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MG559695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OC770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MG573092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MG559696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OC775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MG559697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OC776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MG573093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OC785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Negative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MG559719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OC790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MG559720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OC793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MG573094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MG559698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OC796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MG573095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MG559699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OC797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IM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OC803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MG559700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OC805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MG573096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MG559701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OC808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MG559702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OC810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OC814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MG559703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OC815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MG573105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Negative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OC816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MG559704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OC819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MG559705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OC824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MG573097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OC840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IM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MG559706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OC846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MG573098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MG559707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OC852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IM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MG559708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OC854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MG573099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Negative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OC884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Negative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Negative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OC897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Negative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MG559709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OC912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MG573100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MG559710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OC913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MG573106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OC937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MG573101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MG559711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OC939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MG573102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MG559712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OC975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IM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MG573107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MG559713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OC978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MG573103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MG559714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OC983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Negative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OC996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MG573104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MG559715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OC1021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MG559716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OC1028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Negative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MG559717</w:t>
            </w:r>
          </w:p>
        </w:tc>
      </w:tr>
      <w:tr w:rsidR="00A454F7" w:rsidRPr="00E10417" w:rsidTr="000852B3">
        <w:tc>
          <w:tcPr>
            <w:tcW w:w="468" w:type="dxa"/>
            <w:tcBorders>
              <w:top w:val="nil"/>
              <w:left w:val="nil"/>
              <w:bottom w:val="single" w:sz="2" w:space="0" w:color="000000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2" w:space="0" w:color="000000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OC1031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" w:space="0" w:color="000000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NUD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2" w:space="0" w:color="000000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000000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000000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2" w:space="0" w:color="000000"/>
              <w:right w:val="nil"/>
            </w:tcBorders>
            <w:hideMark/>
          </w:tcPr>
          <w:p w:rsidR="00A454F7" w:rsidRPr="00E10417" w:rsidRDefault="00A454F7" w:rsidP="000852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10417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</w:tr>
    </w:tbl>
    <w:p w:rsidR="00A454F7" w:rsidRPr="00E10417" w:rsidRDefault="00A454F7" w:rsidP="00A454F7">
      <w:pPr>
        <w:spacing w:before="40" w:after="0" w:line="360" w:lineRule="auto"/>
        <w:ind w:left="-86" w:right="1350"/>
        <w:jc w:val="both"/>
        <w:rPr>
          <w:rFonts w:ascii="Times New Roman" w:hAnsi="Times New Roman" w:cs="Times New Roman"/>
          <w:sz w:val="20"/>
          <w:szCs w:val="20"/>
        </w:rPr>
      </w:pPr>
      <w:r w:rsidRPr="00E10417">
        <w:rPr>
          <w:rFonts w:ascii="Times New Roman" w:hAnsi="Times New Roman" w:cs="Times New Roman"/>
          <w:sz w:val="20"/>
          <w:szCs w:val="20"/>
        </w:rPr>
        <w:t xml:space="preserve">GC, gastric cancer; IM, intestinal metaplasia; NUD, </w:t>
      </w:r>
      <w:proofErr w:type="spellStart"/>
      <w:r w:rsidRPr="00E10417">
        <w:rPr>
          <w:rFonts w:ascii="Times New Roman" w:hAnsi="Times New Roman" w:cs="Times New Roman"/>
          <w:sz w:val="20"/>
          <w:szCs w:val="20"/>
        </w:rPr>
        <w:t>nonulcer</w:t>
      </w:r>
      <w:proofErr w:type="spellEnd"/>
      <w:r w:rsidRPr="00E10417">
        <w:rPr>
          <w:rFonts w:ascii="Times New Roman" w:hAnsi="Times New Roman" w:cs="Times New Roman"/>
          <w:sz w:val="20"/>
          <w:szCs w:val="20"/>
        </w:rPr>
        <w:t xml:space="preserve"> dyspepsia; PUD, peptic ulcer disease; NA, not assigned.  </w:t>
      </w:r>
    </w:p>
    <w:p w:rsidR="00A454F7" w:rsidRPr="00E10417" w:rsidRDefault="00A454F7" w:rsidP="00A454F7">
      <w:pPr>
        <w:spacing w:after="0" w:line="360" w:lineRule="auto"/>
        <w:ind w:left="-86" w:right="135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E10417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Pr="00E10417">
        <w:rPr>
          <w:rFonts w:ascii="Times New Roman" w:hAnsi="Times New Roman" w:cs="Times New Roman"/>
          <w:sz w:val="20"/>
          <w:szCs w:val="20"/>
        </w:rPr>
        <w:t>The</w:t>
      </w:r>
      <w:proofErr w:type="spellEnd"/>
      <w:proofErr w:type="gramEnd"/>
      <w:r w:rsidRPr="00E10417">
        <w:rPr>
          <w:rFonts w:ascii="Times New Roman" w:hAnsi="Times New Roman" w:cs="Times New Roman"/>
          <w:sz w:val="20"/>
          <w:szCs w:val="20"/>
        </w:rPr>
        <w:t xml:space="preserve"> accession numbers are deposited in </w:t>
      </w:r>
      <w:proofErr w:type="spellStart"/>
      <w:r w:rsidRPr="00E10417">
        <w:rPr>
          <w:rFonts w:ascii="Times New Roman" w:hAnsi="Times New Roman" w:cs="Times New Roman"/>
          <w:sz w:val="20"/>
          <w:szCs w:val="20"/>
        </w:rPr>
        <w:t>GenBank</w:t>
      </w:r>
      <w:proofErr w:type="spellEnd"/>
      <w:r w:rsidRPr="00E10417">
        <w:rPr>
          <w:rFonts w:ascii="Times New Roman" w:hAnsi="Times New Roman" w:cs="Times New Roman"/>
          <w:sz w:val="20"/>
          <w:szCs w:val="20"/>
        </w:rPr>
        <w:t xml:space="preserve"> database for </w:t>
      </w:r>
      <w:proofErr w:type="spellStart"/>
      <w:r w:rsidRPr="00E10417">
        <w:rPr>
          <w:rFonts w:ascii="Times New Roman" w:hAnsi="Times New Roman" w:cs="Times New Roman"/>
          <w:i/>
          <w:iCs/>
          <w:sz w:val="20"/>
          <w:szCs w:val="20"/>
        </w:rPr>
        <w:t>cagI</w:t>
      </w:r>
      <w:proofErr w:type="spellEnd"/>
      <w:r w:rsidRPr="00E10417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E10417">
        <w:rPr>
          <w:rFonts w:ascii="Times New Roman" w:hAnsi="Times New Roman" w:cs="Times New Roman"/>
          <w:i/>
          <w:iCs/>
          <w:sz w:val="20"/>
          <w:szCs w:val="20"/>
        </w:rPr>
        <w:t>cagN</w:t>
      </w:r>
      <w:proofErr w:type="spellEnd"/>
      <w:r w:rsidRPr="00E10417">
        <w:rPr>
          <w:rFonts w:ascii="Times New Roman" w:hAnsi="Times New Roman" w:cs="Times New Roman"/>
          <w:sz w:val="20"/>
          <w:szCs w:val="20"/>
        </w:rPr>
        <w:t xml:space="preserve"> gene sequences of the </w:t>
      </w:r>
      <w:r w:rsidRPr="00E10417">
        <w:rPr>
          <w:rFonts w:ascii="Times New Roman" w:hAnsi="Times New Roman" w:cs="Times New Roman"/>
          <w:i/>
          <w:iCs/>
          <w:sz w:val="20"/>
          <w:szCs w:val="20"/>
        </w:rPr>
        <w:t>H. pylori</w:t>
      </w:r>
      <w:r w:rsidRPr="00E10417">
        <w:rPr>
          <w:rFonts w:ascii="Times New Roman" w:hAnsi="Times New Roman" w:cs="Times New Roman"/>
          <w:sz w:val="20"/>
          <w:szCs w:val="20"/>
        </w:rPr>
        <w:t xml:space="preserve"> strains in this study.</w:t>
      </w:r>
    </w:p>
    <w:p w:rsidR="00A454F7" w:rsidRPr="00E10417" w:rsidRDefault="00A454F7" w:rsidP="00A454F7">
      <w:pPr>
        <w:spacing w:after="0" w:line="360" w:lineRule="auto"/>
        <w:ind w:left="-86" w:right="135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E10417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Pr="00E10417">
        <w:rPr>
          <w:rFonts w:ascii="Times New Roman" w:hAnsi="Times New Roman" w:cs="Times New Roman"/>
          <w:sz w:val="20"/>
          <w:szCs w:val="20"/>
        </w:rPr>
        <w:t>The</w:t>
      </w:r>
      <w:proofErr w:type="spellEnd"/>
      <w:proofErr w:type="gramEnd"/>
      <w:r w:rsidRPr="00E1041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10417">
        <w:rPr>
          <w:rFonts w:ascii="Times New Roman" w:hAnsi="Times New Roman" w:cs="Times New Roman"/>
          <w:i/>
          <w:iCs/>
          <w:sz w:val="20"/>
          <w:szCs w:val="20"/>
        </w:rPr>
        <w:t>cagI</w:t>
      </w:r>
      <w:proofErr w:type="spellEnd"/>
      <w:r w:rsidRPr="00E10417">
        <w:rPr>
          <w:rFonts w:ascii="Times New Roman" w:hAnsi="Times New Roman" w:cs="Times New Roman"/>
          <w:sz w:val="20"/>
          <w:szCs w:val="20"/>
        </w:rPr>
        <w:t xml:space="preserve">-negative or </w:t>
      </w:r>
      <w:proofErr w:type="spellStart"/>
      <w:r w:rsidRPr="00E10417">
        <w:rPr>
          <w:rFonts w:ascii="Times New Roman" w:hAnsi="Times New Roman" w:cs="Times New Roman"/>
          <w:i/>
          <w:iCs/>
          <w:sz w:val="20"/>
          <w:szCs w:val="20"/>
        </w:rPr>
        <w:t>cagN</w:t>
      </w:r>
      <w:proofErr w:type="spellEnd"/>
      <w:r w:rsidRPr="00E10417">
        <w:rPr>
          <w:rFonts w:ascii="Times New Roman" w:hAnsi="Times New Roman" w:cs="Times New Roman"/>
          <w:sz w:val="20"/>
          <w:szCs w:val="20"/>
        </w:rPr>
        <w:t xml:space="preserve">-negative </w:t>
      </w:r>
      <w:r w:rsidRPr="00E10417">
        <w:rPr>
          <w:rFonts w:ascii="Times New Roman" w:hAnsi="Times New Roman" w:cs="Times New Roman"/>
          <w:i/>
          <w:iCs/>
          <w:sz w:val="20"/>
          <w:szCs w:val="20"/>
        </w:rPr>
        <w:t>H. pylori</w:t>
      </w:r>
      <w:r w:rsidRPr="00E10417">
        <w:rPr>
          <w:rFonts w:ascii="Times New Roman" w:hAnsi="Times New Roman" w:cs="Times New Roman"/>
          <w:sz w:val="20"/>
          <w:szCs w:val="20"/>
        </w:rPr>
        <w:t xml:space="preserve"> strains.</w:t>
      </w:r>
    </w:p>
    <w:p w:rsidR="00A454F7" w:rsidRPr="00E10417" w:rsidRDefault="00A454F7" w:rsidP="00A454F7">
      <w:pPr>
        <w:spacing w:after="0" w:line="360" w:lineRule="auto"/>
        <w:ind w:left="-86" w:right="135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E10417">
        <w:rPr>
          <w:rFonts w:ascii="Times New Roman" w:hAnsi="Times New Roman" w:cs="Times New Roman"/>
          <w:sz w:val="20"/>
          <w:szCs w:val="20"/>
          <w:vertAlign w:val="superscript"/>
        </w:rPr>
        <w:t>c</w:t>
      </w:r>
      <w:r w:rsidRPr="00E10417">
        <w:rPr>
          <w:rFonts w:ascii="Times New Roman" w:hAnsi="Times New Roman" w:cs="Times New Roman"/>
          <w:sz w:val="20"/>
          <w:szCs w:val="20"/>
        </w:rPr>
        <w:t>The</w:t>
      </w:r>
      <w:proofErr w:type="spellEnd"/>
      <w:proofErr w:type="gramEnd"/>
      <w:r w:rsidRPr="00E1041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10417">
        <w:rPr>
          <w:rFonts w:ascii="Times New Roman" w:hAnsi="Times New Roman" w:cs="Times New Roman"/>
          <w:i/>
          <w:iCs/>
          <w:sz w:val="20"/>
          <w:szCs w:val="20"/>
        </w:rPr>
        <w:t>cagI</w:t>
      </w:r>
      <w:proofErr w:type="spellEnd"/>
      <w:r w:rsidRPr="00E10417">
        <w:rPr>
          <w:rFonts w:ascii="Times New Roman" w:hAnsi="Times New Roman" w:cs="Times New Roman"/>
          <w:sz w:val="20"/>
          <w:szCs w:val="20"/>
        </w:rPr>
        <w:t xml:space="preserve">-positive or </w:t>
      </w:r>
      <w:proofErr w:type="spellStart"/>
      <w:r w:rsidRPr="00E10417">
        <w:rPr>
          <w:rFonts w:ascii="Times New Roman" w:hAnsi="Times New Roman" w:cs="Times New Roman"/>
          <w:i/>
          <w:iCs/>
          <w:sz w:val="20"/>
          <w:szCs w:val="20"/>
        </w:rPr>
        <w:t>cagN</w:t>
      </w:r>
      <w:proofErr w:type="spellEnd"/>
      <w:r w:rsidRPr="00E10417">
        <w:rPr>
          <w:rFonts w:ascii="Times New Roman" w:hAnsi="Times New Roman" w:cs="Times New Roman"/>
          <w:sz w:val="20"/>
          <w:szCs w:val="20"/>
        </w:rPr>
        <w:t xml:space="preserve">-positive </w:t>
      </w:r>
      <w:r w:rsidRPr="00E10417">
        <w:rPr>
          <w:rFonts w:ascii="Times New Roman" w:hAnsi="Times New Roman" w:cs="Times New Roman"/>
          <w:i/>
          <w:iCs/>
          <w:sz w:val="20"/>
          <w:szCs w:val="20"/>
        </w:rPr>
        <w:t>H. pylori</w:t>
      </w:r>
      <w:r w:rsidRPr="00E10417">
        <w:rPr>
          <w:rFonts w:ascii="Times New Roman" w:hAnsi="Times New Roman" w:cs="Times New Roman"/>
          <w:sz w:val="20"/>
          <w:szCs w:val="20"/>
        </w:rPr>
        <w:t xml:space="preserve"> strains that either were not sequenced or sequenced unsuccessfully.</w:t>
      </w:r>
    </w:p>
    <w:p w:rsidR="00A454F7" w:rsidRPr="00E10417" w:rsidRDefault="00A454F7" w:rsidP="00A454F7"/>
    <w:p w:rsidR="00A454F7" w:rsidRPr="00E10417" w:rsidRDefault="00A454F7">
      <w:pPr>
        <w:spacing w:after="160" w:line="259" w:lineRule="auto"/>
      </w:pPr>
      <w:r w:rsidRPr="00E10417">
        <w:br w:type="page"/>
      </w:r>
    </w:p>
    <w:p w:rsidR="009B2BB9" w:rsidRPr="00E10417" w:rsidRDefault="009B2BB9" w:rsidP="009B2BB9">
      <w:r w:rsidRPr="00E10417">
        <w:rPr>
          <w:noProof/>
        </w:rPr>
        <w:drawing>
          <wp:inline distT="0" distB="0" distL="0" distR="0" wp14:anchorId="1959072F" wp14:editId="0775638E">
            <wp:extent cx="5943600" cy="4124498"/>
            <wp:effectExtent l="0" t="0" r="0" b="9525"/>
            <wp:docPr id="3" name="Picture 3" descr="C:\Users\b.yadegar\Desktop\CagI\New folder\Cag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.yadegar\Desktop\CagI\New folder\CagI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BB9" w:rsidRPr="00E10417" w:rsidRDefault="009B2BB9" w:rsidP="009B2BB9">
      <w:r w:rsidRPr="00E10417">
        <w:rPr>
          <w:noProof/>
        </w:rPr>
        <w:drawing>
          <wp:inline distT="0" distB="0" distL="0" distR="0" wp14:anchorId="3D78EB05" wp14:editId="62DCEDA4">
            <wp:extent cx="5943600" cy="4121616"/>
            <wp:effectExtent l="0" t="0" r="0" b="0"/>
            <wp:docPr id="4" name="Picture 4" descr="C:\Users\b.yadegar\Desktop\CagI\New folder\Cag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.yadegar\Desktop\CagI\New folder\CagI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BB9" w:rsidRPr="00E10417" w:rsidRDefault="009B2BB9" w:rsidP="009B2BB9">
      <w:pPr>
        <w:spacing w:after="0" w:line="480" w:lineRule="auto"/>
        <w:jc w:val="both"/>
        <w:rPr>
          <w:rFonts w:asciiTheme="majorBidi" w:hAnsiTheme="majorBidi" w:cstheme="majorBidi"/>
          <w:sz w:val="20"/>
          <w:szCs w:val="20"/>
        </w:rPr>
      </w:pPr>
      <w:r w:rsidRPr="00E10417">
        <w:rPr>
          <w:rFonts w:asciiTheme="majorBidi" w:hAnsiTheme="majorBidi" w:cstheme="majorBidi"/>
          <w:b/>
          <w:bCs/>
          <w:sz w:val="20"/>
          <w:szCs w:val="20"/>
        </w:rPr>
        <w:t>Figure S1.</w:t>
      </w:r>
      <w:r w:rsidRPr="00E10417">
        <w:rPr>
          <w:rFonts w:asciiTheme="majorBidi" w:hAnsiTheme="majorBidi" w:cstheme="majorBidi"/>
          <w:sz w:val="20"/>
          <w:szCs w:val="20"/>
        </w:rPr>
        <w:t xml:space="preserve"> Complete alignment of </w:t>
      </w:r>
      <w:proofErr w:type="spellStart"/>
      <w:r w:rsidRPr="00E10417">
        <w:rPr>
          <w:rFonts w:asciiTheme="majorBidi" w:hAnsiTheme="majorBidi" w:cstheme="majorBidi"/>
          <w:sz w:val="20"/>
          <w:szCs w:val="20"/>
        </w:rPr>
        <w:t>CagI</w:t>
      </w:r>
      <w:proofErr w:type="spellEnd"/>
      <w:r w:rsidRPr="00E10417">
        <w:rPr>
          <w:rFonts w:asciiTheme="majorBidi" w:hAnsiTheme="majorBidi" w:cstheme="majorBidi"/>
          <w:sz w:val="20"/>
          <w:szCs w:val="20"/>
        </w:rPr>
        <w:t xml:space="preserve"> sequences among </w:t>
      </w:r>
      <w:r w:rsidRPr="00E10417">
        <w:rPr>
          <w:rFonts w:asciiTheme="majorBidi" w:hAnsiTheme="majorBidi" w:cstheme="majorBidi"/>
          <w:i/>
          <w:iCs/>
          <w:sz w:val="20"/>
          <w:szCs w:val="20"/>
        </w:rPr>
        <w:t>H. pylori</w:t>
      </w:r>
      <w:r w:rsidRPr="00E10417">
        <w:rPr>
          <w:rFonts w:asciiTheme="majorBidi" w:hAnsiTheme="majorBidi" w:cstheme="majorBidi"/>
          <w:sz w:val="20"/>
          <w:szCs w:val="20"/>
        </w:rPr>
        <w:t xml:space="preserve"> strains (</w:t>
      </w:r>
      <w:r w:rsidRPr="00E10417">
        <w:rPr>
          <w:rFonts w:asciiTheme="majorBidi" w:hAnsiTheme="majorBidi" w:cstheme="majorBidi"/>
          <w:i/>
          <w:iCs/>
          <w:sz w:val="20"/>
          <w:szCs w:val="20"/>
        </w:rPr>
        <w:t>n</w:t>
      </w:r>
      <w:r w:rsidRPr="00E10417">
        <w:rPr>
          <w:rFonts w:asciiTheme="majorBidi" w:hAnsiTheme="majorBidi" w:cstheme="majorBidi"/>
          <w:sz w:val="20"/>
          <w:szCs w:val="20"/>
        </w:rPr>
        <w:t xml:space="preserve">=27) from patients with different clinical status. The amino acid sequences were compared with the </w:t>
      </w:r>
      <w:proofErr w:type="spellStart"/>
      <w:r w:rsidRPr="00E10417">
        <w:rPr>
          <w:rFonts w:asciiTheme="majorBidi" w:hAnsiTheme="majorBidi" w:cstheme="majorBidi"/>
          <w:sz w:val="20"/>
          <w:szCs w:val="20"/>
        </w:rPr>
        <w:t>CagI</w:t>
      </w:r>
      <w:proofErr w:type="spellEnd"/>
      <w:r w:rsidRPr="00E10417">
        <w:rPr>
          <w:rFonts w:asciiTheme="majorBidi" w:hAnsiTheme="majorBidi" w:cstheme="majorBidi"/>
          <w:sz w:val="20"/>
          <w:szCs w:val="20"/>
        </w:rPr>
        <w:t xml:space="preserve"> sequences of </w:t>
      </w:r>
      <w:r w:rsidRPr="00E10417">
        <w:rPr>
          <w:rFonts w:asciiTheme="majorBidi" w:hAnsiTheme="majorBidi" w:cstheme="majorBidi"/>
          <w:i/>
          <w:iCs/>
          <w:sz w:val="20"/>
          <w:szCs w:val="20"/>
        </w:rPr>
        <w:t>H. pylori</w:t>
      </w:r>
      <w:r w:rsidRPr="00E10417">
        <w:rPr>
          <w:rFonts w:asciiTheme="majorBidi" w:hAnsiTheme="majorBidi" w:cstheme="majorBidi"/>
          <w:sz w:val="20"/>
          <w:szCs w:val="20"/>
        </w:rPr>
        <w:t xml:space="preserve"> strain P12 (is shown on the top line), as a reference strain. The variable and infrequent amino acid residues are surrounded by black borders. Notably, the C-terminal </w:t>
      </w:r>
      <w:proofErr w:type="spellStart"/>
      <w:r w:rsidRPr="00E10417">
        <w:rPr>
          <w:rFonts w:asciiTheme="majorBidi" w:hAnsiTheme="majorBidi" w:cstheme="majorBidi"/>
          <w:sz w:val="20"/>
          <w:szCs w:val="20"/>
        </w:rPr>
        <w:t>hexapeptide</w:t>
      </w:r>
      <w:proofErr w:type="spellEnd"/>
      <w:r w:rsidRPr="00E10417">
        <w:rPr>
          <w:rFonts w:asciiTheme="majorBidi" w:hAnsiTheme="majorBidi" w:cstheme="majorBidi"/>
          <w:sz w:val="20"/>
          <w:szCs w:val="20"/>
        </w:rPr>
        <w:t xml:space="preserve"> motif consisting of the SKVIVK sequence were highly conserved among the strains.</w:t>
      </w:r>
    </w:p>
    <w:p w:rsidR="009B2BB9" w:rsidRPr="00E10417" w:rsidRDefault="009B2BB9" w:rsidP="009B2BB9"/>
    <w:p w:rsidR="009B2BB9" w:rsidRPr="00E10417" w:rsidRDefault="009B2BB9" w:rsidP="009B2BB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10417">
        <w:br w:type="page"/>
      </w:r>
      <w:r w:rsidRPr="00E1041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-211455</wp:posOffset>
                </wp:positionV>
                <wp:extent cx="679450" cy="266700"/>
                <wp:effectExtent l="6350" t="7620" r="9525" b="1143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450" cy="266700"/>
                          <a:chOff x="6595" y="1107"/>
                          <a:chExt cx="1070" cy="420"/>
                        </a:xfrm>
                      </wpg:grpSpPr>
                      <wps:wsp>
                        <wps:cNvPr id="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595" y="1107"/>
                            <a:ext cx="1070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2BB9" w:rsidRPr="00633BBE" w:rsidRDefault="009B2BB9" w:rsidP="009B2BB9">
                              <w:pPr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 w:rsidRPr="00633BB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CagNHM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4"/>
                        <wps:cNvSpPr>
                          <a:spLocks/>
                        </wps:cNvSpPr>
                        <wps:spPr bwMode="auto">
                          <a:xfrm rot="16200000">
                            <a:off x="7030" y="979"/>
                            <a:ext cx="144" cy="951"/>
                          </a:xfrm>
                          <a:prstGeom prst="rightBrace">
                            <a:avLst>
                              <a:gd name="adj1" fmla="val 5503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57.75pt;margin-top:-16.65pt;width:53.5pt;height:21pt;z-index:251659264" coordorigin="6595,1107" coordsize="107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o8QjwMAAIQJAAAOAAAAZHJzL2Uyb0RvYy54bWzUVtuO2zYQfQ/QfyD47pVkS/JKWG2w9WUR&#10;IG2CXD6AlqhLK5EqSa+8DfLvHQ5lW+vcU6BA/SCT4nA4c86ZoW6eH7qWPHClGykyGlz5lHCRy6IR&#10;VUbfv9vOrinRhomCtVLwjD5yTZ/f/vLsZuhTPpe1bAuuCDgROh36jNbG9Knn6bzmHdNXsucCFkup&#10;OmZgqiqvUGwA713rzX0/9gapil7JnGsNb9dukd6i/7LkuXlVlpob0mYUYjP4VPjc2ad3e8PSSrG+&#10;bvIxDPYTUXSsEXDoydWaGUb2qvnEVdfkSmpZmqtcdp4syybnmANkE/gX2dwrue8xlyodqv4EE0B7&#10;gdNPu81/f3itSFNkNKZEsA4owlNJbKEZ+ioFi3vVv+1fK5cfDF/K/E8Ny97lup1Xzpjsht9kAe7Y&#10;3kiE5lCqzrqApMkBGXg8McAPhuTwMl4mYQQ85bA0j+OlPzKU10Cj3RVHSUQJrAaBv3Ts5fVm3A2v&#10;xr3hHDd6LHWnYqRjZDYtEJs+46n/HZ5va9ZzpElbtEY8l0c834AImahaThYOU7Q6AqodmkTIVQ1W&#10;/E4pOdScFRBUYO0h9MkGO9HAxTfh/QxQR5DPMC0id8QRJpb2Spt7LjtiBxlVEDuSxx5eamOjOZtY&#10;LrVsm2LbtC1OVLVbtYo8MCi2Lf4wgQuzVpAho0k0j9DzUxe27vnJya4K0KbddyAm5zjw7c9RD++t&#10;LvDAI+HYOqwLDPaJ964x0Gzapsvo9cSLRXsjCsiOpYY1rRtDpq0Y4beIO9mYw+4AhpaGnSwegQgl&#10;XVOBJgiDWqq/KRmgoWRU/7VnilPSvhBAZhKEoe1AOAmjJSiUqOnKbrrCRA6uMmooccOVcV1r36um&#10;quEkh4yQd1BfZYPcnKMa4waR/0dqD+ZHudt4sCJI+GW5/6CuHchBDB3fcj/pIkt/AThCP0iWidPE&#10;SeVh6PpI8k2RW0B/VSy3RcxSlLodVMXYEVnxR0BJ2bVwNYDWSBT5i8idNrUBCCY2GKmrmNHjRe0I&#10;aQsHVffVkphWFeZ/Uvq0+OCqGCX8VTmzFPCBUrb5WaTwjvqQ+MnmenMdzsJ5vJmF/no9u9uuwlm8&#10;DZbRerFerdbBRwtOEKZ1UxRc2NCP92UQfl//HG9ud9OdbswnFaqnyX6phXhPw8A6h1yO/5gdds1z&#10;2f5fahXvKbjqMZfxs8R+S0znMJ5+PN3+AwAA//8DAFBLAwQUAAYACAAAACEAHaM8EeAAAAAJAQAA&#10;DwAAAGRycy9kb3ducmV2LnhtbEyPTUvDQBCG74L/YRnBW7v5ILXEbEop6qkItoJ422anSWh2NmS3&#10;SfrvHU96nJmHd5632My2EyMOvnWkIF5GIJAqZ1qqFXweXxdrED5oMrpzhApu6GFT3t8VOjduog8c&#10;D6EWHEI+1wqaEPpcSl81aLVfuh6Jb2c3WB14HGppBj1xuO1kEkUraXVL/KHRPe4arC6Hq1XwNulp&#10;m8Yv4/5y3t2+j9n71z5GpR4f5u0ziIBz+IPhV5/VoWSnk7uS8aJTkMVZxqiCRZqmIJhYJQlvTgrW&#10;TyDLQv5vUP4AAAD//wMAUEsBAi0AFAAGAAgAAAAhALaDOJL+AAAA4QEAABMAAAAAAAAAAAAAAAAA&#10;AAAAAFtDb250ZW50X1R5cGVzXS54bWxQSwECLQAUAAYACAAAACEAOP0h/9YAAACUAQAACwAAAAAA&#10;AAAAAAAAAAAvAQAAX3JlbHMvLnJlbHNQSwECLQAUAAYACAAAACEAeEqPEI8DAACECQAADgAAAAAA&#10;AAAAAAAAAAAuAgAAZHJzL2Uyb0RvYy54bWxQSwECLQAUAAYACAAAACEAHaM8EeAAAAAJAQAADwAA&#10;AAAAAAAAAAAAAADpBQAAZHJzL2Rvd25yZXYueG1sUEsFBgAAAAAEAAQA8wAAAPYGAAAAAA==&#10;">
                <v:rect id="Rectangle 3" o:spid="_x0000_s1027" style="position:absolute;left:6595;top:1107;width:1070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zE8AA&#10;AADaAAAADwAAAGRycy9kb3ducmV2LnhtbESPQYvCMBSE74L/ITzBm6YuuEo1iiiLe9iLVe+P5tkW&#10;m5eSRE3//WZhweMwM98w6200rXiS841lBbNpBoK4tLrhSsHl/DVZgvABWWNrmRT05GG7GQ7WmGv7&#10;4hM9i1CJBGGfo4I6hC6X0pc1GfRT2xEn72adwZCkq6R2+Epw08qPLPuUBhtOCzV2tK+pvBcPo+BH&#10;x+O+nMd7ccCFu7pHH/DYKzUexd0KRKAY3uH/9rdWsIC/K+kG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AzE8AAAADaAAAADwAAAAAAAAAAAAAAAACYAgAAZHJzL2Rvd25y&#10;ZXYueG1sUEsFBgAAAAAEAAQA9QAAAIUDAAAAAA==&#10;" strokecolor="white [3212]">
                  <v:textbox>
                    <w:txbxContent>
                      <w:p w:rsidR="009B2BB9" w:rsidRPr="00633BBE" w:rsidRDefault="009B2BB9" w:rsidP="009B2BB9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proofErr w:type="spellStart"/>
                        <w:r w:rsidRPr="00633BBE">
                          <w:rPr>
                            <w:rFonts w:asciiTheme="majorBidi" w:hAnsiTheme="majorBidi" w:cstheme="majorBidi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CagNHM</w:t>
                        </w:r>
                        <w:proofErr w:type="spellEnd"/>
                      </w:p>
                    </w:txbxContent>
                  </v:textbox>
                </v:re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4" o:spid="_x0000_s1028" type="#_x0000_t88" style="position:absolute;left:7030;top:979;width:144;height:95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BhcEA&#10;AADbAAAADwAAAGRycy9kb3ducmV2LnhtbESPQYvCMBCF74L/IYzgRTTdHkS6RlFBEPGyUdjr0Ixt&#10;sZmEJqv13xthwdsM78373izXvW3FnbrQOFbwNctAEJfONFwpuJz30wWIEJENto5JwZMCrFfDwRIL&#10;4x78Q3cdK5FCOBSooI7RF1KGsiaLYeY8cdKurrMY09pV0nT4SOG2lXmWzaXFhhOhRk+7msqb/rOJ&#10;e7xsz17T8VfL/DTxVvf7iVZqPOo33yAi9fFj/r8+mFQ/h/cvaQ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RwYXBAAAA2wAAAA8AAAAAAAAAAAAAAAAAmAIAAGRycy9kb3du&#10;cmV2LnhtbFBLBQYAAAAABAAEAPUAAACGAwAAAAA=&#10;"/>
              </v:group>
            </w:pict>
          </mc:Fallback>
        </mc:AlternateContent>
      </w:r>
      <w:r w:rsidRPr="00E10417">
        <w:rPr>
          <w:noProof/>
        </w:rPr>
        <w:drawing>
          <wp:inline distT="0" distB="0" distL="0" distR="0" wp14:anchorId="0124A175" wp14:editId="7552C3FE">
            <wp:extent cx="5943600" cy="3099816"/>
            <wp:effectExtent l="0" t="0" r="0" b="0"/>
            <wp:docPr id="8" name="Picture 8" descr="D:\Manuscripts\Norouz 99\cagI\To submit\Nasrin Mirzaei\CagN Tree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nuscripts\Norouz 99\cagI\To submit\Nasrin Mirzaei\CagN Tree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417">
        <w:rPr>
          <w:noProof/>
        </w:rPr>
        <w:drawing>
          <wp:inline distT="0" distB="0" distL="0" distR="0" wp14:anchorId="0335D3DA" wp14:editId="430CF27D">
            <wp:extent cx="5943600" cy="3099816"/>
            <wp:effectExtent l="0" t="0" r="0" b="0"/>
            <wp:docPr id="9" name="Picture 9" descr="D:\Manuscripts\Norouz 99\cagI\To submit\Nasrin Mirzaei\CagN Tree\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nuscripts\Norouz 99\cagI\To submit\Nasrin Mirzaei\CagN Tree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417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4436745</wp:posOffset>
                </wp:positionH>
                <wp:positionV relativeFrom="paragraph">
                  <wp:posOffset>-250825</wp:posOffset>
                </wp:positionV>
                <wp:extent cx="1071245" cy="265430"/>
                <wp:effectExtent l="7620" t="6350" r="6985" b="1397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245" cy="265430"/>
                          <a:chOff x="8427" y="1045"/>
                          <a:chExt cx="1687" cy="418"/>
                        </a:xfrm>
                      </wpg:grpSpPr>
                      <wps:wsp>
                        <wps:cNvPr id="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427" y="1045"/>
                            <a:ext cx="1687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2BB9" w:rsidRPr="00633BBE" w:rsidRDefault="009B2BB9" w:rsidP="009B2BB9">
                              <w:pPr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H</w:t>
                              </w:r>
                              <w:r w:rsidRPr="004C5F7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exapeptide</w:t>
                              </w:r>
                              <w:proofErr w:type="spellEnd"/>
                              <w:r w:rsidRPr="004C5F7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motif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7"/>
                        <wps:cNvSpPr>
                          <a:spLocks/>
                        </wps:cNvSpPr>
                        <wps:spPr bwMode="auto">
                          <a:xfrm rot="16200000">
                            <a:off x="9190" y="873"/>
                            <a:ext cx="128" cy="1051"/>
                          </a:xfrm>
                          <a:prstGeom prst="rightBrace">
                            <a:avLst>
                              <a:gd name="adj1" fmla="val 68424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9" style="position:absolute;margin-left:349.35pt;margin-top:-19.75pt;width:84.35pt;height:20.9pt;z-index:251660288" coordorigin="8427,1045" coordsize="1687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6rulwMAAIwJAAAOAAAAZHJzL2Uyb0RvYy54bWzUVtuO3DYMfS/QfxD0PmvL67kZ6w22c1kU&#10;SJoglw/Q2PKlsSVH0qxnU/TfS1Eer2fbJG0KFOg8eCSTosjDQ9I3L05tQx6ENrWSKWVXISVCZiqv&#10;ZZnSD+/3sxUlxnKZ80ZJkdJHYeiL2x9/uOm7RESqUk0uNAEj0iR9l9LK2i4JApNVouXmSnVCgrBQ&#10;uuUWtroMcs17sN42QRSGi6BXOu+0yoQx8HbrhfQW7ReFyOzrojDCkial4JvFp8bnwT2D2xuelJp3&#10;VZ0NbvDv8KLltYRLR1Nbbjk56vpPpto608qowl5lqg1UUdSZwBggGhY+i+Zeq2OHsZRJX3YjTADt&#10;M5y+22z2y8MbTeocckeJ5C2kCG8lzEHTd2UCGve6e9e90T4+WL5U2UcD4uC53O1Lr0wO/SuVgzl+&#10;tAqhORW6dSYgaHLCDDyOGRAnSzJ4ycIli+I5JRnIosU8vh5SlFWQR3dsFUdLSkDKQtDD9GXV7nx8&#10;sQKhOxuzlRMGPPHXoquDay4uYJt5AtT8O0DfVbwTmCfj4BoAjc6AvgUWclk2giw8qKh1RtR4OIlU&#10;mwq0xJ3Wqq8Ez8EpTAK4PjngNgaS8U18/wKoEeURpuu5v+IME086bey9UC1xi5Rq8B2zxx9eGusR&#10;Pau4ZBrV1Pm+bhrc6PKwaTR54FBte/wNSbhQayTpU7qeR3O0fCHDwhejkUPJUKc5tsAmb5iF7udT&#10;D+8dL/BCfAUJH01g+i+st7WFbtPULfBoYsWhvZM5ksnyuvFrMNVIJLlH3NPGng6noV5A32XjoPJH&#10;yIdWvrlAM4RFpfRnSnpoLCk1n45cC0qanyXkdM3i2HUi3MTzZQQbPZUcphIuMzCVUkuJX26s717H&#10;TtdlBTd5gKS6gzorakzRk1eD+8D1/4j0ULq+izh3sC7I8sukd3z6B+z2GLMFNH7HgEkzWbM1wAh1&#10;v1pee2aMXI9gArmOwMJvct0B+pPmmatlniDj3aLMh5h4/it0yaJtYEQA5cgCaiz21011oPCfdObo&#10;qi+cwSIQa1pCUrn6QfJ9tTKmxYUAjISf1iCMjIHJX2U1TwAgqGgXn4MKZ9Vv63C9W+1W8SyOFrtZ&#10;HG63s7v9Jp4t9mw5315vN5st+92Bw+KkqvNcSOf6eW6y+O+10WGC+4k3Ts6LQjXTYL/USYJLN7Dc&#10;IZbzP0aH9HL98v9VqziuYORjLMPnifummO5hPf2Iuv0DAAD//wMAUEsDBBQABgAIAAAAIQBCMtLI&#10;4QAAAAkBAAAPAAAAZHJzL2Rvd25yZXYueG1sTI9BT4NAEIXvJv6HzZh4axeKpRRZmqZRT42JrYnx&#10;NoUpkLKzhN0C/feuJz1O3pf3vsk2k27FQL1tDCsI5wEI4sKUDVcKPo+vswSEdcgltoZJwY0sbPL7&#10;uwzT0oz8QcPBVcKXsE1RQe1cl0ppi5o02rnpiH12Nr1G58++kmWPoy/XrVwEQSw1NuwXauxoV1Nx&#10;OVy1grcRx20Uvgz7y3l3+z4u37/2ISn1+DBtn0E4mtwfDL/6Xh1y73QyVy6taBXE62TlUQWzaL0E&#10;4YkkXj2BOClYRCDzTP7/IP8BAAD//wMAUEsBAi0AFAAGAAgAAAAhALaDOJL+AAAA4QEAABMAAAAA&#10;AAAAAAAAAAAAAAAAAFtDb250ZW50X1R5cGVzXS54bWxQSwECLQAUAAYACAAAACEAOP0h/9YAAACU&#10;AQAACwAAAAAAAAAAAAAAAAAvAQAAX3JlbHMvLnJlbHNQSwECLQAUAAYACAAAACEA93+q7pcDAACM&#10;CQAADgAAAAAAAAAAAAAAAAAuAgAAZHJzL2Uyb0RvYy54bWxQSwECLQAUAAYACAAAACEAQjLSyOEA&#10;AAAJAQAADwAAAAAAAAAAAAAAAADxBQAAZHJzL2Rvd25yZXYueG1sUEsFBgAAAAAEAAQA8wAAAP8G&#10;AAAAAA==&#10;">
                <v:rect id="Rectangle 6" o:spid="_x0000_s1030" style="position:absolute;left:8427;top:1045;width:1687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Qi8EA&#10;AADaAAAADwAAAGRycy9kb3ducmV2LnhtbESPwWrDMBBE74X8g9hAb7WcQNvgWAkloaSHXuok98Xa&#10;2ibWykiKLf99VSj0OMzMG6bcR9OLkZzvLCtYZTkI4trqjhsFl/P70waED8gae8ukYCYP+93iocRC&#10;24m/aKxCIxKEfYEK2hCGQkpft2TQZ3YgTt63dQZDkq6R2uGU4KaX6zx/kQY7TgstDnRoqb5Vd6Pg&#10;U8fToX6Ot+qIr+7q7nPA06zU4zK+bUEEiuE//Nf+0ArW8Hsl3QC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HkIvBAAAA2gAAAA8AAAAAAAAAAAAAAAAAmAIAAGRycy9kb3du&#10;cmV2LnhtbFBLBQYAAAAABAAEAPUAAACGAwAAAAA=&#10;" strokecolor="white [3212]">
                  <v:textbox>
                    <w:txbxContent>
                      <w:p w:rsidR="009B2BB9" w:rsidRPr="00633BBE" w:rsidRDefault="009B2BB9" w:rsidP="009B2BB9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H</w:t>
                        </w:r>
                        <w:r w:rsidRPr="004C5F70">
                          <w:rPr>
                            <w:rFonts w:asciiTheme="majorBidi" w:hAnsiTheme="majorBidi" w:cstheme="majorBidi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exapeptide</w:t>
                        </w:r>
                        <w:proofErr w:type="spellEnd"/>
                        <w:r w:rsidRPr="004C5F70">
                          <w:rPr>
                            <w:rFonts w:asciiTheme="majorBidi" w:hAnsiTheme="majorBidi" w:cstheme="majorBidi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motif</w:t>
                        </w:r>
                      </w:p>
                    </w:txbxContent>
                  </v:textbox>
                </v:rect>
                <v:shape id="AutoShape 7" o:spid="_x0000_s1031" type="#_x0000_t88" style="position:absolute;left:9190;top:873;width:128;height:105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nzL8A&#10;AADaAAAADwAAAGRycy9kb3ducmV2LnhtbESPzYrCMBSF9wO+Q7iCG9FUwUGqUVQQRGZjFNxemmtb&#10;bG5CE7Xz9pMBweXh/Hyc5bqzjXhSG2rHCibjDARx4UzNpYLLeT+agwgR2WDjmBT8UoD1qve1xNy4&#10;F5/oqWMp0giHHBVUMfpcylBUZDGMnSdO3s21FmOSbSlNi680bhs5zbJvabHmRKjQ066i4q4fNnGP&#10;l+3ZazpetZz+DL3V3X6olRr0u80CRKQufsLv9sEomMH/lXQD5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POfMvwAAANoAAAAPAAAAAAAAAAAAAAAAAJgCAABkcnMvZG93bnJl&#10;di54bWxQSwUGAAAAAAQABAD1AAAAhAMAAAAA&#10;"/>
              </v:group>
            </w:pict>
          </mc:Fallback>
        </mc:AlternateContent>
      </w:r>
      <w:r w:rsidRPr="00E10417">
        <w:rPr>
          <w:noProof/>
        </w:rPr>
        <w:drawing>
          <wp:inline distT="0" distB="0" distL="0" distR="0" wp14:anchorId="62BF8A44" wp14:editId="69282FE9">
            <wp:extent cx="5943600" cy="3099816"/>
            <wp:effectExtent l="0" t="0" r="0" b="0"/>
            <wp:docPr id="10" name="Picture 10" descr="D:\Manuscripts\Norouz 99\cagI\To submit\Nasrin Mirzaei\CagN Tree\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nuscripts\Norouz 99\cagI\To submit\Nasrin Mirzaei\CagN Tree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4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10417">
        <w:rPr>
          <w:noProof/>
        </w:rPr>
        <w:drawing>
          <wp:inline distT="0" distB="0" distL="0" distR="0" wp14:anchorId="45C2FC59" wp14:editId="6457C217">
            <wp:extent cx="1616371" cy="2877836"/>
            <wp:effectExtent l="0" t="0" r="0" b="0"/>
            <wp:docPr id="11" name="Picture 11" descr="D:\Manuscripts\Norouz 99\cagI\To submit\Nasrin Mirzaei\CagN Tre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nuscripts\Norouz 99\cagI\To submit\Nasrin Mirzaei\CagN Tree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97" cy="288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BB9" w:rsidRDefault="009B2BB9" w:rsidP="009B2BB9">
      <w:pPr>
        <w:spacing w:after="0" w:line="480" w:lineRule="auto"/>
        <w:jc w:val="both"/>
        <w:rPr>
          <w:rFonts w:asciiTheme="majorBidi" w:hAnsiTheme="majorBidi" w:cstheme="majorBidi"/>
          <w:sz w:val="20"/>
          <w:szCs w:val="20"/>
        </w:rPr>
      </w:pPr>
      <w:r w:rsidRPr="00E10417">
        <w:rPr>
          <w:rFonts w:asciiTheme="majorBidi" w:hAnsiTheme="majorBidi" w:cstheme="majorBidi"/>
          <w:b/>
          <w:bCs/>
          <w:sz w:val="20"/>
          <w:szCs w:val="20"/>
        </w:rPr>
        <w:t>Figure S2.</w:t>
      </w:r>
      <w:r w:rsidRPr="00E10417">
        <w:rPr>
          <w:rFonts w:asciiTheme="majorBidi" w:hAnsiTheme="majorBidi" w:cstheme="majorBidi"/>
          <w:sz w:val="20"/>
          <w:szCs w:val="20"/>
        </w:rPr>
        <w:t xml:space="preserve"> Complete alignment of </w:t>
      </w:r>
      <w:proofErr w:type="spellStart"/>
      <w:r w:rsidRPr="00E10417">
        <w:rPr>
          <w:rFonts w:asciiTheme="majorBidi" w:hAnsiTheme="majorBidi" w:cstheme="majorBidi"/>
          <w:sz w:val="20"/>
          <w:szCs w:val="20"/>
        </w:rPr>
        <w:t>CagN</w:t>
      </w:r>
      <w:proofErr w:type="spellEnd"/>
      <w:r w:rsidRPr="00E10417">
        <w:rPr>
          <w:rFonts w:asciiTheme="majorBidi" w:hAnsiTheme="majorBidi" w:cstheme="majorBidi"/>
          <w:sz w:val="20"/>
          <w:szCs w:val="20"/>
        </w:rPr>
        <w:t xml:space="preserve"> sequences among 43 </w:t>
      </w:r>
      <w:r w:rsidRPr="00E10417">
        <w:rPr>
          <w:rFonts w:asciiTheme="majorBidi" w:hAnsiTheme="majorBidi" w:cstheme="majorBidi"/>
          <w:i/>
          <w:iCs/>
          <w:sz w:val="20"/>
          <w:szCs w:val="20"/>
        </w:rPr>
        <w:t>H. pylori</w:t>
      </w:r>
      <w:r w:rsidRPr="00E10417">
        <w:rPr>
          <w:rFonts w:asciiTheme="majorBidi" w:hAnsiTheme="majorBidi" w:cstheme="majorBidi"/>
          <w:sz w:val="20"/>
          <w:szCs w:val="20"/>
        </w:rPr>
        <w:t xml:space="preserve"> strains from patients with different clinical status. The amino acid sequences were compared with the </w:t>
      </w:r>
      <w:proofErr w:type="spellStart"/>
      <w:r w:rsidRPr="00E10417">
        <w:rPr>
          <w:rFonts w:asciiTheme="majorBidi" w:hAnsiTheme="majorBidi" w:cstheme="majorBidi"/>
          <w:sz w:val="20"/>
          <w:szCs w:val="20"/>
        </w:rPr>
        <w:t>CagN</w:t>
      </w:r>
      <w:proofErr w:type="spellEnd"/>
      <w:r w:rsidRPr="00E10417">
        <w:rPr>
          <w:rFonts w:asciiTheme="majorBidi" w:hAnsiTheme="majorBidi" w:cstheme="majorBidi"/>
          <w:sz w:val="20"/>
          <w:szCs w:val="20"/>
        </w:rPr>
        <w:t xml:space="preserve"> sequences of </w:t>
      </w:r>
      <w:r w:rsidRPr="00E10417">
        <w:rPr>
          <w:rFonts w:asciiTheme="majorBidi" w:hAnsiTheme="majorBidi" w:cstheme="majorBidi"/>
          <w:i/>
          <w:iCs/>
          <w:sz w:val="20"/>
          <w:szCs w:val="20"/>
        </w:rPr>
        <w:t>H. pylori</w:t>
      </w:r>
      <w:r w:rsidRPr="00E10417">
        <w:rPr>
          <w:rFonts w:asciiTheme="majorBidi" w:hAnsiTheme="majorBidi" w:cstheme="majorBidi"/>
          <w:sz w:val="20"/>
          <w:szCs w:val="20"/>
        </w:rPr>
        <w:t xml:space="preserve"> strain P12 (is shown on the top line), as a reference strain. The variable and infrequent amino acid residues are surrounded by black borders. Notably, the </w:t>
      </w:r>
      <w:proofErr w:type="spellStart"/>
      <w:r w:rsidRPr="00E10417">
        <w:rPr>
          <w:rFonts w:asciiTheme="majorBidi" w:hAnsiTheme="majorBidi" w:cstheme="majorBidi"/>
          <w:color w:val="000000"/>
          <w:sz w:val="20"/>
          <w:szCs w:val="20"/>
        </w:rPr>
        <w:t>CagN</w:t>
      </w:r>
      <w:proofErr w:type="spellEnd"/>
      <w:r w:rsidRPr="00E10417">
        <w:rPr>
          <w:rFonts w:asciiTheme="majorBidi" w:hAnsiTheme="majorBidi" w:cstheme="majorBidi"/>
          <w:color w:val="000000"/>
          <w:sz w:val="20"/>
          <w:szCs w:val="20"/>
        </w:rPr>
        <w:t xml:space="preserve"> hypervariable motif (</w:t>
      </w:r>
      <w:proofErr w:type="spellStart"/>
      <w:r w:rsidRPr="00E10417">
        <w:rPr>
          <w:rFonts w:asciiTheme="majorBidi" w:hAnsiTheme="majorBidi" w:cstheme="majorBidi"/>
          <w:color w:val="000000"/>
          <w:sz w:val="20"/>
          <w:szCs w:val="20"/>
        </w:rPr>
        <w:t>CagNHM</w:t>
      </w:r>
      <w:proofErr w:type="spellEnd"/>
      <w:r w:rsidRPr="00E10417">
        <w:rPr>
          <w:rFonts w:asciiTheme="majorBidi" w:hAnsiTheme="majorBidi" w:cstheme="majorBidi"/>
          <w:color w:val="000000"/>
          <w:sz w:val="20"/>
          <w:szCs w:val="20"/>
        </w:rPr>
        <w:t xml:space="preserve">) and the hypothetical </w:t>
      </w:r>
      <w:proofErr w:type="spellStart"/>
      <w:r w:rsidRPr="00E10417">
        <w:rPr>
          <w:rFonts w:asciiTheme="majorBidi" w:hAnsiTheme="majorBidi" w:cstheme="majorBidi"/>
          <w:color w:val="000000"/>
          <w:sz w:val="20"/>
          <w:szCs w:val="20"/>
        </w:rPr>
        <w:t>hexapeptide</w:t>
      </w:r>
      <w:proofErr w:type="spellEnd"/>
      <w:r w:rsidRPr="00E10417">
        <w:rPr>
          <w:rFonts w:asciiTheme="majorBidi" w:hAnsiTheme="majorBidi" w:cstheme="majorBidi"/>
          <w:color w:val="000000"/>
          <w:sz w:val="20"/>
          <w:szCs w:val="20"/>
        </w:rPr>
        <w:t xml:space="preserve"> motif (EAKDEN/K) are indicated at residues 53-63 and 278-283, respectively</w:t>
      </w:r>
      <w:r w:rsidRPr="00E10417">
        <w:rPr>
          <w:rFonts w:asciiTheme="majorBidi" w:hAnsiTheme="majorBidi" w:cstheme="majorBidi"/>
          <w:sz w:val="20"/>
          <w:szCs w:val="20"/>
        </w:rPr>
        <w:t>.</w:t>
      </w:r>
      <w:bookmarkStart w:id="0" w:name="_GoBack"/>
      <w:bookmarkEnd w:id="0"/>
    </w:p>
    <w:p w:rsidR="009B2BB9" w:rsidRDefault="009B2BB9">
      <w:pPr>
        <w:spacing w:after="160" w:line="259" w:lineRule="auto"/>
      </w:pPr>
    </w:p>
    <w:sectPr w:rsidR="009B2B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88F"/>
    <w:rsid w:val="001B28B6"/>
    <w:rsid w:val="0028788F"/>
    <w:rsid w:val="003B0790"/>
    <w:rsid w:val="003D1233"/>
    <w:rsid w:val="009B2BB9"/>
    <w:rsid w:val="00A10DDE"/>
    <w:rsid w:val="00A454F7"/>
    <w:rsid w:val="00BD2D32"/>
    <w:rsid w:val="00C42D43"/>
    <w:rsid w:val="00E1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0D0B79-8C5E-475B-AED6-AF8BD59B7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54F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2236</Words>
  <Characters>12749</Characters>
  <Application>Microsoft Office Word</Application>
  <DocSecurity>0</DocSecurity>
  <Lines>106</Lines>
  <Paragraphs>29</Paragraphs>
  <ScaleCrop>false</ScaleCrop>
  <Company/>
  <LinksUpToDate>false</LinksUpToDate>
  <CharactersWithSpaces>14956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بابک یادگار</dc:creator>
  <cp:keywords/>
  <dc:description/>
  <cp:lastModifiedBy>بابک یادگار</cp:lastModifiedBy>
  <cp:revision>8</cp:revision>
  <dcterms:created xsi:type="dcterms:W3CDTF">2020-11-09T15:05:00Z</dcterms:created>
  <dcterms:modified xsi:type="dcterms:W3CDTF">2020-11-09T15:32:00Z</dcterms:modified>
</cp:coreProperties>
</file>