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bookmarkStart w:id="0" w:name="_Hlk31896165"/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1 Quality evaluation of included studies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849360" cy="3745230"/>
            <wp:effectExtent l="0" t="0" r="2540" b="1270"/>
            <wp:docPr id="3" name="图片 3" descr="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2 Quality assessment of included studies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73580" cy="4799330"/>
            <wp:effectExtent l="0" t="0" r="7620" b="1270"/>
            <wp:docPr id="5" name="图片 5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.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3A Subgroup analysis of Major adverse cardiovascular events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2915" cy="4777105"/>
            <wp:effectExtent l="0" t="0" r="6985" b="10795"/>
            <wp:docPr id="1" name="图片 1" descr="S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3B Subgroup analysis of Cardiovascular death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5927725" cy="4712970"/>
            <wp:effectExtent l="0" t="0" r="3175" b="11430"/>
            <wp:docPr id="4" name="图片 4" descr="S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3C Subgroup analysis of Myocardial infarction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80380" cy="4738370"/>
            <wp:effectExtent l="0" t="0" r="7620" b="11430"/>
            <wp:docPr id="10" name="图片 10" descr="S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3D Subgroup analysis of Ischemic stroke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40705" cy="4726305"/>
            <wp:effectExtent l="0" t="0" r="10795" b="10795"/>
            <wp:docPr id="11" name="图片 11" descr="S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3E Subgroup analysis of All</w:t>
      </w: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cause death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36895" cy="4756785"/>
            <wp:effectExtent l="0" t="0" r="1905" b="5715"/>
            <wp:docPr id="12" name="图片 12" descr="S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3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3F Subgroup analysis of Stent thrombosis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79565" cy="4662170"/>
            <wp:effectExtent l="0" t="0" r="635" b="11430"/>
            <wp:docPr id="13" name="图片 13" descr="ST-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T-F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3G Subgroup analysis of TIMI major bleeding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6028690" cy="4606290"/>
            <wp:effectExtent l="0" t="0" r="3810" b="3810"/>
            <wp:docPr id="15" name="图片 15" descr="S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3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3H Subgroup analysis of TIMI minor bleeding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6156325" cy="4605655"/>
            <wp:effectExtent l="0" t="0" r="3175" b="4445"/>
            <wp:docPr id="16" name="图片 16" descr="S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3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 Fig. 3I Subgroup analysis of ISTH major bleeding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5786755" cy="4605020"/>
            <wp:effectExtent l="0" t="0" r="4445" b="5080"/>
            <wp:docPr id="19" name="图片 19" descr="ISTH-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STH-F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bookmarkStart w:id="1" w:name="OLE_LINK5"/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Supplemental</w:t>
      </w:r>
      <w:bookmarkEnd w:id="1"/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Fig. 3J Subgroup analysis of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Intracranial hemorrhage</w:t>
      </w:r>
    </w:p>
    <w:p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hint="eastAsia" w:ascii="Times New Roman" w:hAnsi="Times New Roman" w:cs="Times New Roman"/>
          <w:b/>
          <w:sz w:val="20"/>
          <w:szCs w:val="20"/>
        </w:rPr>
        <w:drawing>
          <wp:inline distT="0" distB="0" distL="114300" distR="114300">
            <wp:extent cx="5972175" cy="4669155"/>
            <wp:effectExtent l="0" t="0" r="9525" b="4445"/>
            <wp:docPr id="20" name="图片 20" descr="IM-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-R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>Fig. 4A Sensitivity analysis of the rate of TIMI major bleeding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6127115" cy="4384040"/>
            <wp:effectExtent l="0" t="0" r="6985" b="10160"/>
            <wp:docPr id="6" name="图片 6" descr="Fig. 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. 6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>Fig. 4B Sensitivity analysis of the rate of TIMI minor bleeding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6832600" cy="4768850"/>
            <wp:effectExtent l="0" t="0" r="0" b="6350"/>
            <wp:docPr id="7" name="图片 7" descr="Fig. 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. 6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bookmarkStart w:id="2" w:name="OLE_LINK4"/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>Fig. 4C Sensitivity analysis of the rate of ISTH major bleeding</w:t>
      </w:r>
    </w:p>
    <w:bookmarkEnd w:id="2"/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5796915" cy="4610735"/>
            <wp:effectExtent l="0" t="0" r="6985" b="12065"/>
            <wp:docPr id="8" name="图片 8" descr="Fig. 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. 6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bookmarkStart w:id="3" w:name="OLE_LINK6"/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 xml:space="preserve">Fig. 4D Sensitivity analysis of the rate of Intracranial hemorrhage </w:t>
      </w:r>
    </w:p>
    <w:bookmarkEnd w:id="3"/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6122035" cy="4792345"/>
            <wp:effectExtent l="0" t="0" r="12065" b="8255"/>
            <wp:docPr id="9" name="图片 9" descr="Fig. 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. 6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 xml:space="preserve">Fig. 5A The result of Major adverse cardiovascular events with Random-Effect Model 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5518785" cy="4739640"/>
            <wp:effectExtent l="0" t="0" r="5715" b="10160"/>
            <wp:docPr id="21" name="图片 21" descr="MACE-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ACE-R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 xml:space="preserve">Fig. 5B The result of Cardiovascular death with Random-Effect Model 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5986145" cy="4757420"/>
            <wp:effectExtent l="0" t="0" r="8255" b="5080"/>
            <wp:docPr id="22" name="图片 22" descr="CD-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D-R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 xml:space="preserve">Fig. 5C The result of Myocardial infarction with Random-Effect Model 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5622290" cy="4773295"/>
            <wp:effectExtent l="0" t="0" r="3810" b="1905"/>
            <wp:docPr id="23" name="图片 23" descr="MI-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I-R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 xml:space="preserve">Fig. 5D The result of Ischemic stroke with Random-Effect Model </w:t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drawing>
          <wp:inline distT="0" distB="0" distL="114300" distR="114300">
            <wp:extent cx="5550535" cy="4703445"/>
            <wp:effectExtent l="0" t="0" r="12065" b="8255"/>
            <wp:docPr id="24" name="图片 24" descr="stoke-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toke-R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Supplemental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>Fig. 5</w:t>
      </w:r>
      <w:r>
        <w:rPr>
          <w:rFonts w:ascii="Times New Roman" w:hAnsi="Times New Roman" w:eastAsia="等线" w:cs="Times New Roman"/>
          <w:b/>
          <w:bCs/>
          <w:color w:val="000000"/>
          <w:sz w:val="24"/>
        </w:rPr>
        <w:t>E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 xml:space="preserve"> The result of </w:t>
      </w:r>
      <w:r>
        <w:rPr>
          <w:rFonts w:ascii="Times New Roman" w:hAnsi="Times New Roman" w:eastAsia="等线" w:cs="Times New Roman"/>
          <w:b/>
          <w:bCs/>
          <w:color w:val="000000"/>
          <w:sz w:val="24"/>
        </w:rPr>
        <w:t>All-cause death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 xml:space="preserve"> with Random-Effect Model</w:t>
      </w:r>
    </w:p>
    <w:p>
      <w:pPr>
        <w:widowControl/>
        <w:spacing w:line="480" w:lineRule="auto"/>
        <w:jc w:val="left"/>
        <w:textAlignment w:val="center"/>
        <w:rPr>
          <w:rFonts w:hint="eastAsia" w:ascii="Times New Roman" w:hAnsi="Times New Roman" w:eastAsia="等线" w:cs="Times New Roman"/>
          <w:b/>
          <w:bCs/>
          <w:color w:val="000000"/>
          <w:sz w:val="24"/>
        </w:rPr>
      </w:pPr>
      <w:r>
        <w:drawing>
          <wp:inline distT="0" distB="0" distL="0" distR="0">
            <wp:extent cx="5579745" cy="470916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166" cy="47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</w:p>
    <w:bookmarkEnd w:id="0"/>
    <w:p>
      <w:pPr>
        <w:spacing w:line="480" w:lineRule="auto"/>
        <w:jc w:val="left"/>
        <w:rPr>
          <w:rFonts w:ascii="Times New Roman" w:hAnsi="Times New Roman" w:cs="Times New Roman"/>
          <w:sz w:val="15"/>
          <w:szCs w:val="15"/>
        </w:rPr>
      </w:pPr>
    </w:p>
    <w:p>
      <w:pPr>
        <w:spacing w:line="480" w:lineRule="auto"/>
        <w:jc w:val="left"/>
        <w:rPr>
          <w:rFonts w:hint="eastAsia" w:ascii="Times New Roman" w:hAnsi="Times New Roman" w:cs="Times New Roman"/>
          <w:sz w:val="15"/>
          <w:szCs w:val="15"/>
        </w:rPr>
      </w:pPr>
    </w:p>
    <w:p>
      <w:pPr>
        <w:widowControl/>
        <w:spacing w:line="480" w:lineRule="auto"/>
        <w:jc w:val="center"/>
        <w:textAlignment w:val="top"/>
        <w:rPr>
          <w:rFonts w:ascii="Times New Roman" w:hAnsi="Times New Roman" w:eastAsia="等线" w:cs="Times New Roman"/>
          <w:b/>
          <w:bCs/>
          <w:color w:val="000000"/>
          <w:sz w:val="24"/>
        </w:rPr>
      </w:pPr>
      <w:r>
        <w:rPr>
          <w:rFonts w:ascii="Times New Roman" w:hAnsi="Times New Roman" w:eastAsia="等线" w:cs="Times New Roman"/>
          <w:b/>
          <w:bCs/>
          <w:color w:val="000000"/>
          <w:sz w:val="24"/>
        </w:rPr>
        <w:t xml:space="preserve">Table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  <w:lang w:val="en-US" w:eastAsia="zh-CN"/>
        </w:rPr>
        <w:t>S1</w:t>
      </w:r>
      <w:r>
        <w:rPr>
          <w:rFonts w:ascii="Times New Roman" w:hAnsi="Times New Roman" w:eastAsia="等线" w:cs="Times New Roman"/>
          <w:b/>
          <w:bCs/>
          <w:color w:val="000000"/>
          <w:sz w:val="24"/>
        </w:rPr>
        <w:t xml:space="preserve">    Clinical Characteristics of the Included Participants</w:t>
      </w:r>
    </w:p>
    <w:tbl>
      <w:tblPr>
        <w:tblStyle w:val="4"/>
        <w:tblW w:w="5042" w:type="pc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2"/>
        <w:gridCol w:w="920"/>
        <w:gridCol w:w="1049"/>
        <w:gridCol w:w="1021"/>
        <w:gridCol w:w="1550"/>
        <w:gridCol w:w="990"/>
        <w:gridCol w:w="2246"/>
        <w:gridCol w:w="2641"/>
        <w:gridCol w:w="16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  <w:t>Study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Age (years)  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Female sex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Hypertension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Tobacco use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Diabetes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Heart failure or LVEF≤40%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Previous cereb</w:t>
            </w:r>
            <w:bookmarkStart w:id="6" w:name="_GoBack"/>
            <w:bookmarkEnd w:id="6"/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rovascular disease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Previous peripheral disease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COMPASS </w:t>
            </w:r>
          </w:p>
        </w:tc>
        <w:tc>
          <w:tcPr>
            <w:tcW w:w="326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68.2</w:t>
            </w:r>
          </w:p>
        </w:tc>
        <w:tc>
          <w:tcPr>
            <w:tcW w:w="372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22.00%</w:t>
            </w:r>
          </w:p>
        </w:tc>
        <w:tc>
          <w:tcPr>
            <w:tcW w:w="362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75.50%</w:t>
            </w:r>
          </w:p>
        </w:tc>
        <w:tc>
          <w:tcPr>
            <w:tcW w:w="550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21.40%</w:t>
            </w:r>
          </w:p>
        </w:tc>
        <w:tc>
          <w:tcPr>
            <w:tcW w:w="351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37.70%</w:t>
            </w:r>
          </w:p>
        </w:tc>
        <w:tc>
          <w:tcPr>
            <w:tcW w:w="797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21.50%</w:t>
            </w:r>
          </w:p>
        </w:tc>
        <w:tc>
          <w:tcPr>
            <w:tcW w:w="937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3.80%</w:t>
            </w:r>
          </w:p>
        </w:tc>
        <w:tc>
          <w:tcPr>
            <w:tcW w:w="598" w:type="pct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27.30%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COMMANDER HF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66.4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22.90%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75.30%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40.90%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100%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9%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APPRAISE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61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24.10%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22.50%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11.90%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4.20%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4.90%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APPRAISE-2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67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32.20%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47.80%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28.10%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10.00%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18.10%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APPRAISE-J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64.6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13.20%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39.70%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9.30%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1.30%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ATLAS ACS-TIMI 46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57.4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22.80%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57.20%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62.10%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19.30%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ATLAS ACS 2–TIMI 51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61.7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25.30%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67.40%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32%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GEMINI-ACS-1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62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25%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73%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33%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RE-DEEM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61.8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24%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66.60%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31.30%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11.70%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6.50%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RUBY-1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56.9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20.40%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60.40%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42.20%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22.00%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2.40%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2.90%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3.60%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SEPIA-ACS1 TIMI 42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61.4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30.60%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69%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31.50%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28.20%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TAO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62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30.10%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71.20%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33.40%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28.50%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5.20%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ESTEEM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68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31%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52.2%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26.5%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22.5%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RE-DUAL PCI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71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25%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37.3%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8.9%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ENTRUST-AF PCI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70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25.6%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90.1%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34%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54.8%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12.5%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10.5%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AUGUSTUS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70.7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29%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88.3%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36.4%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42.8%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13.7%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PIONEER AF-PCI</w:t>
            </w:r>
          </w:p>
        </w:tc>
        <w:tc>
          <w:tcPr>
            <w:tcW w:w="32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7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0</w:t>
            </w:r>
          </w:p>
        </w:tc>
        <w:tc>
          <w:tcPr>
            <w:tcW w:w="3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5.5%</w:t>
            </w:r>
          </w:p>
        </w:tc>
        <w:tc>
          <w:tcPr>
            <w:tcW w:w="36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6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.6%</w:t>
            </w:r>
          </w:p>
        </w:tc>
        <w:tc>
          <w:tcPr>
            <w:tcW w:w="3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7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93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  <w:tc>
          <w:tcPr>
            <w:tcW w:w="5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</w:tcPr>
          <w:p>
            <w:pPr>
              <w:widowControl/>
              <w:spacing w:line="48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Not reported</w:t>
            </w:r>
          </w:p>
        </w:tc>
      </w:tr>
    </w:tbl>
    <w:p>
      <w:pPr>
        <w:spacing w:line="480" w:lineRule="auto"/>
        <w:rPr>
          <w:rFonts w:ascii="Times New Roman" w:hAnsi="Times New Roman" w:cs="Times New Roman"/>
          <w:sz w:val="15"/>
          <w:szCs w:val="15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15"/>
          <w:szCs w:val="15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15"/>
          <w:szCs w:val="15"/>
        </w:rPr>
      </w:pPr>
    </w:p>
    <w:p>
      <w:pPr>
        <w:widowControl/>
        <w:spacing w:line="480" w:lineRule="auto"/>
        <w:jc w:val="left"/>
        <w:textAlignment w:val="top"/>
        <w:rPr>
          <w:rFonts w:ascii="Times New Roman" w:hAnsi="Times New Roman" w:cs="Times New Roman"/>
          <w:sz w:val="15"/>
          <w:szCs w:val="15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15"/>
          <w:szCs w:val="15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15"/>
          <w:szCs w:val="15"/>
        </w:rPr>
      </w:pPr>
    </w:p>
    <w:p>
      <w:pPr>
        <w:widowControl/>
        <w:spacing w:line="480" w:lineRule="auto"/>
        <w:jc w:val="center"/>
        <w:textAlignment w:val="center"/>
        <w:rPr>
          <w:rFonts w:ascii="Times New Roman" w:hAnsi="Times New Roman" w:eastAsia="等线" w:cs="Times New Roman"/>
          <w:b/>
          <w:bCs/>
          <w:color w:val="000000"/>
          <w:sz w:val="24"/>
        </w:rPr>
      </w:pPr>
      <w:bookmarkStart w:id="4" w:name="_Hlk31896412"/>
      <w:r>
        <w:rPr>
          <w:rFonts w:ascii="Times New Roman" w:hAnsi="Times New Roman" w:eastAsia="等线" w:cs="Times New Roman"/>
          <w:b/>
          <w:bCs/>
          <w:color w:val="000000"/>
          <w:sz w:val="24"/>
        </w:rPr>
        <w:t xml:space="preserve">Table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  <w:lang w:val="en-US" w:eastAsia="zh-CN"/>
        </w:rPr>
        <w:t>S2</w:t>
      </w:r>
      <w:r>
        <w:rPr>
          <w:rFonts w:ascii="Times New Roman" w:hAnsi="Times New Roman" w:eastAsia="等线" w:cs="Times New Roman"/>
          <w:b/>
          <w:bCs/>
          <w:color w:val="000000"/>
          <w:sz w:val="24"/>
        </w:rPr>
        <w:t xml:space="preserve">   Efficacy and Safety Endpoints of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>I</w:t>
      </w:r>
      <w:r>
        <w:rPr>
          <w:rFonts w:ascii="Times New Roman" w:hAnsi="Times New Roman" w:eastAsia="等线" w:cs="Times New Roman"/>
          <w:b/>
          <w:bCs/>
          <w:color w:val="000000"/>
          <w:sz w:val="24"/>
        </w:rPr>
        <w:t xml:space="preserve">ncluded </w:t>
      </w:r>
      <w:r>
        <w:rPr>
          <w:rFonts w:hint="eastAsia" w:ascii="Times New Roman" w:hAnsi="Times New Roman" w:eastAsia="等线" w:cs="Times New Roman"/>
          <w:b/>
          <w:bCs/>
          <w:color w:val="000000"/>
          <w:sz w:val="24"/>
        </w:rPr>
        <w:t>S</w:t>
      </w:r>
      <w:r>
        <w:rPr>
          <w:rFonts w:ascii="Times New Roman" w:hAnsi="Times New Roman" w:eastAsia="等线" w:cs="Times New Roman"/>
          <w:b/>
          <w:bCs/>
          <w:color w:val="000000"/>
          <w:sz w:val="24"/>
        </w:rPr>
        <w:t>tudies</w:t>
      </w:r>
    </w:p>
    <w:tbl>
      <w:tblPr>
        <w:tblStyle w:val="4"/>
        <w:tblW w:w="14006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462"/>
        <w:gridCol w:w="10273"/>
        <w:gridCol w:w="1658"/>
        <w:gridCol w:w="40"/>
        <w:gridCol w:w="4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single" w:color="000000" w:sz="8" w:space="0"/>
              <w:left w:val="dotted" w:color="auto" w:sz="0" w:space="0"/>
              <w:bottom w:val="single" w:color="000000" w:sz="8" w:space="0"/>
              <w:right w:val="dotted" w:color="auto" w:sz="0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  <w:t>Study</w:t>
            </w:r>
          </w:p>
        </w:tc>
        <w:tc>
          <w:tcPr>
            <w:tcW w:w="462" w:type="dxa"/>
            <w:tcBorders>
              <w:top w:val="single" w:color="000000" w:sz="8" w:space="0"/>
              <w:left w:val="dotted" w:color="auto" w:sz="0" w:space="0"/>
              <w:bottom w:val="single" w:color="000000" w:sz="8" w:space="0"/>
              <w:right w:val="dotted" w:color="auto" w:sz="0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Year</w:t>
            </w:r>
          </w:p>
        </w:tc>
        <w:tc>
          <w:tcPr>
            <w:tcW w:w="10273" w:type="dxa"/>
            <w:tcBorders>
              <w:top w:val="single" w:color="000000" w:sz="8" w:space="0"/>
              <w:left w:val="dotted" w:color="auto" w:sz="0" w:space="0"/>
              <w:bottom w:val="single" w:color="000000" w:sz="8" w:space="0"/>
              <w:right w:val="dotted" w:color="auto" w:sz="0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major efficacy endpoints</w:t>
            </w:r>
          </w:p>
        </w:tc>
        <w:tc>
          <w:tcPr>
            <w:tcW w:w="1658" w:type="dxa"/>
            <w:tcBorders>
              <w:top w:val="single" w:color="000000" w:sz="8" w:space="0"/>
              <w:left w:val="dotted" w:color="auto" w:sz="0" w:space="0"/>
              <w:bottom w:val="single" w:color="000000" w:sz="8" w:space="0"/>
              <w:right w:val="dotted" w:color="auto" w:sz="0" w:space="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major safety endpoints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single" w:color="000000" w:sz="8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COMPASS </w:t>
            </w:r>
          </w:p>
        </w:tc>
        <w:tc>
          <w:tcPr>
            <w:tcW w:w="462" w:type="dxa"/>
            <w:tcBorders>
              <w:top w:val="single" w:color="000000" w:sz="8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2017</w:t>
            </w:r>
          </w:p>
        </w:tc>
        <w:tc>
          <w:tcPr>
            <w:tcW w:w="10273" w:type="dxa"/>
            <w:tcBorders>
              <w:top w:val="single" w:color="000000" w:sz="8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cardiovascular death, stroke, or myocardial infarction</w:t>
            </w:r>
            <w:r>
              <w:rPr>
                <w:rStyle w:val="8"/>
                <w:rFonts w:ascii="Times New Roman" w:hAnsi="Times New Roman" w:eastAsia="等线" w:cs="Times New Roman"/>
                <w:sz w:val="15"/>
                <w:szCs w:val="15"/>
                <w:lang w:bidi="ar"/>
              </w:rPr>
              <w:t xml:space="preserve"> </w:t>
            </w:r>
          </w:p>
        </w:tc>
        <w:tc>
          <w:tcPr>
            <w:tcW w:w="1658" w:type="dxa"/>
            <w:tcBorders>
              <w:top w:val="single" w:color="000000" w:sz="8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ISTH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COMMANDER HF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2018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death from any cause, myocardial infarction, or stroke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ISTH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APPRAISE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2009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cardiovascular death, myocardial infarction, severe recurrent ischemia, or ischemic stroke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TIMI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APPRAISE-2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2011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cardiovascular death, myocardial infarction, or ischemic stroke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ISTH TIMI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APPRAISE-J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2013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all deaths, nonfatal myocardial infarction, unstable angina, and stroke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ISTH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ATLAS ACS-TIMI 46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2009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the composite of death, myocardial infarction, stroke, or severe recurrent ischemia requiring revascularization 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TIMI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ATLAS ACS 2–TIMI 51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2012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 composite of death from cardiovascular causes, myocardial infarction, or stroke (ischemic, hemorrhagic, or stroke of uncertain cause)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TIMI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GEMINI-ACS-1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2017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cardiovascular death, myocardial infarction, stroke, or definite stent thrombosis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ISTH TIMI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RE-DEEM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2011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cardiovascular death, non-fatal myocardial infarction, and non-hemorrhagic stroke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ISTH TIMI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RUBY-1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2011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 composite of death, stroke, myocardial infarction, systemic thromboembolism, and severe recurrent ischemia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ISTH TIMI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SEPIA-ACS1 TIMI 42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2009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 composite of all-cause death, myocardial infarction, severe recurrent myocardial ischemia requiring urgent revascularization, or bailout use of a glycoprotein IIb/IIIa inhibitor for recurrent ischemia or a thrombotic complication during percutaneous coronary intervention up to 7 days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TIMI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TAO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2013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of all-cause death or new myocardial infarction from randomization to day 7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0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TIMI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ESTEEM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2008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the composite clinical endpoint of death (all-cause mortality), nonfatal MI, and severe recurrent ischemia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.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ISTH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RE-DUAL PCI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2017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 composite efficacy endpoint of thromboembolic events (myocardial infarction, stroke, or systemic embolism), death, or unplanned revascularization.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ISTH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80" w:type="dxa"/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ENTRUST-AF PCI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2019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 xml:space="preserve">the composite of cardiovascular death, stroke, </w:t>
            </w:r>
            <w:bookmarkStart w:id="5" w:name="OLE_LINK7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systemic embolic events</w:t>
            </w:r>
            <w:bookmarkEnd w:id="5"/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, myocardial infarction, and definite stent thrombosis.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ISTH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AUGUSTUS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2019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 the composite of death or ischemic events (stroke, myocardial infarction, stent thrombosis, or urgent revascularization)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ISTH</w:t>
            </w:r>
          </w:p>
        </w:tc>
        <w:tc>
          <w:tcPr>
            <w:tcW w:w="40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40" w:type="dxa"/>
            <w:tcBorders>
              <w:top w:val="dotted" w:color="auto" w:sz="4" w:space="0"/>
              <w:left w:val="dotted" w:color="auto" w:sz="0" w:space="0"/>
              <w:bottom w:val="dotted" w:color="auto" w:sz="4" w:space="0"/>
              <w:right w:val="dotted" w:color="auto" w:sz="0" w:space="0"/>
              <w:tl2br w:val="nil"/>
              <w:tr2bl w:val="nil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33" w:type="dxa"/>
            <w:tcBorders>
              <w:top w:val="dotted" w:color="auto" w:sz="4" w:space="0"/>
              <w:left w:val="dotted" w:color="auto" w:sz="0" w:space="0"/>
              <w:bottom w:val="single" w:color="000000" w:sz="8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PIONEER AF-PCI</w:t>
            </w:r>
          </w:p>
        </w:tc>
        <w:tc>
          <w:tcPr>
            <w:tcW w:w="462" w:type="dxa"/>
            <w:tcBorders>
              <w:top w:val="dotted" w:color="auto" w:sz="4" w:space="0"/>
              <w:left w:val="dotted" w:color="auto" w:sz="0" w:space="0"/>
              <w:bottom w:val="single" w:color="000000" w:sz="8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2016</w:t>
            </w:r>
          </w:p>
        </w:tc>
        <w:tc>
          <w:tcPr>
            <w:tcW w:w="10273" w:type="dxa"/>
            <w:tcBorders>
              <w:top w:val="dotted" w:color="auto" w:sz="4" w:space="0"/>
              <w:left w:val="dotted" w:color="auto" w:sz="0" w:space="0"/>
              <w:bottom w:val="single" w:color="000000" w:sz="8" w:space="0"/>
              <w:right w:val="dotted" w:color="auto" w:sz="0" w:space="0"/>
              <w:tl2br w:val="nil"/>
              <w:tr2bl w:val="nil"/>
            </w:tcBorders>
            <w:shd w:val="clear" w:color="auto" w:fill="CCCC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a composite of death from cardiovascular causes, myocardial infarction, or stroke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.</w:t>
            </w:r>
          </w:p>
        </w:tc>
        <w:tc>
          <w:tcPr>
            <w:tcW w:w="1658" w:type="dxa"/>
            <w:tcBorders>
              <w:top w:val="dotted" w:color="auto" w:sz="4" w:space="0"/>
              <w:left w:val="dotted" w:color="auto" w:sz="0" w:space="0"/>
              <w:bottom w:val="single" w:color="000000" w:sz="8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T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  <w:t>IMI</w:t>
            </w:r>
          </w:p>
        </w:tc>
        <w:tc>
          <w:tcPr>
            <w:tcW w:w="40" w:type="dxa"/>
            <w:tcBorders>
              <w:top w:val="dotted" w:color="auto" w:sz="4" w:space="0"/>
              <w:left w:val="dotted" w:color="auto" w:sz="0" w:space="0"/>
              <w:bottom w:val="single" w:color="000000" w:sz="8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40" w:type="dxa"/>
            <w:tcBorders>
              <w:top w:val="dotted" w:color="auto" w:sz="4" w:space="0"/>
              <w:left w:val="dotted" w:color="auto" w:sz="0" w:space="0"/>
              <w:bottom w:val="single" w:color="000000" w:sz="8" w:space="0"/>
              <w:right w:val="dotted" w:color="auto" w:sz="0" w:space="0"/>
              <w:tl2br w:val="nil"/>
              <w:tr2bl w:val="nil"/>
            </w:tcBorders>
            <w:shd w:val="clear" w:color="auto" w:fill="CCCCCC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480" w:lineRule="auto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15"/>
                <w:szCs w:val="15"/>
                <w:lang w:bidi="ar"/>
              </w:rPr>
            </w:pPr>
          </w:p>
        </w:tc>
      </w:tr>
    </w:tbl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color w:val="000000"/>
          <w:kern w:val="0"/>
          <w:sz w:val="15"/>
          <w:szCs w:val="15"/>
          <w:lang w:bidi="ar"/>
        </w:rPr>
      </w:pPr>
      <w:r>
        <w:rPr>
          <w:rFonts w:ascii="Times New Roman" w:hAnsi="Times New Roman" w:eastAsia="等线" w:cs="Times New Roman"/>
          <w:color w:val="000000"/>
          <w:kern w:val="0"/>
          <w:sz w:val="15"/>
          <w:szCs w:val="15"/>
          <w:lang w:bidi="ar"/>
        </w:rPr>
        <w:t xml:space="preserve">ISTH: International Society of Thrombosis and Hemostasis; TIMI: thrombolysis in myocardial infarction; </w:t>
      </w:r>
      <w:bookmarkEnd w:id="4"/>
    </w:p>
    <w:p>
      <w:pPr>
        <w:widowControl/>
        <w:spacing w:line="480" w:lineRule="auto"/>
        <w:jc w:val="left"/>
        <w:textAlignment w:val="center"/>
        <w:rPr>
          <w:rFonts w:ascii="Times New Roman" w:hAnsi="Times New Roman" w:eastAsia="等线" w:cs="Times New Roman"/>
          <w:color w:val="000000"/>
          <w:kern w:val="0"/>
          <w:sz w:val="15"/>
          <w:szCs w:val="15"/>
          <w:lang w:bidi="ar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15"/>
          <w:szCs w:val="15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MwsTQ1sDAyMDU3MDBS0lEKTi0uzszPAykwrAUAT9hlH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adian J Cardiology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xe22rexk2a2x5eesz8x2wdnzdst50rwz2st&quot;&gt;review 1-BAG3&lt;record-ids&gt;&lt;item&gt;4046&lt;/item&gt;&lt;item&gt;4048&lt;/item&gt;&lt;item&gt;4049&lt;/item&gt;&lt;item&gt;4050&lt;/item&gt;&lt;item&gt;4051&lt;/item&gt;&lt;item&gt;4057&lt;/item&gt;&lt;item&gt;4058&lt;/item&gt;&lt;item&gt;4059&lt;/item&gt;&lt;item&gt;4068&lt;/item&gt;&lt;item&gt;4069&lt;/item&gt;&lt;item&gt;4070&lt;/item&gt;&lt;item&gt;4071&lt;/item&gt;&lt;item&gt;4072&lt;/item&gt;&lt;item&gt;4073&lt;/item&gt;&lt;item&gt;4074&lt;/item&gt;&lt;item&gt;4075&lt;/item&gt;&lt;item&gt;4076&lt;/item&gt;&lt;item&gt;4077&lt;/item&gt;&lt;item&gt;4078&lt;/item&gt;&lt;item&gt;4079&lt;/item&gt;&lt;item&gt;4107&lt;/item&gt;&lt;item&gt;4110&lt;/item&gt;&lt;item&gt;4116&lt;/item&gt;&lt;item&gt;4117&lt;/item&gt;&lt;item&gt;4118&lt;/item&gt;&lt;item&gt;4119&lt;/item&gt;&lt;item&gt;4120&lt;/item&gt;&lt;item&gt;4121&lt;/item&gt;&lt;item&gt;4122&lt;/item&gt;&lt;item&gt;4123&lt;/item&gt;&lt;item&gt;4124&lt;/item&gt;&lt;item&gt;4125&lt;/item&gt;&lt;item&gt;4126&lt;/item&gt;&lt;item&gt;4127&lt;/item&gt;&lt;item&gt;4128&lt;/item&gt;&lt;item&gt;4129&lt;/item&gt;&lt;item&gt;4130&lt;/item&gt;&lt;item&gt;4131&lt;/item&gt;&lt;item&gt;4132&lt;/item&gt;&lt;item&gt;4133&lt;/item&gt;&lt;item&gt;4134&lt;/item&gt;&lt;/record-ids&gt;&lt;/item&gt;&lt;/Libraries&gt;"/>
  </w:docVars>
  <w:rsids>
    <w:rsidRoot w:val="08D03B4A"/>
    <w:rsid w:val="00112717"/>
    <w:rsid w:val="001E02D9"/>
    <w:rsid w:val="005A034E"/>
    <w:rsid w:val="006504E9"/>
    <w:rsid w:val="006A015A"/>
    <w:rsid w:val="006C5AFF"/>
    <w:rsid w:val="00774EF1"/>
    <w:rsid w:val="007A1E8E"/>
    <w:rsid w:val="00807FF2"/>
    <w:rsid w:val="008426BA"/>
    <w:rsid w:val="008613C4"/>
    <w:rsid w:val="008E575B"/>
    <w:rsid w:val="009C5D98"/>
    <w:rsid w:val="00BD0864"/>
    <w:rsid w:val="00C15096"/>
    <w:rsid w:val="00C260D1"/>
    <w:rsid w:val="00C644EA"/>
    <w:rsid w:val="00DE58DC"/>
    <w:rsid w:val="00E20203"/>
    <w:rsid w:val="00E23F89"/>
    <w:rsid w:val="00EC1D30"/>
    <w:rsid w:val="037F43E3"/>
    <w:rsid w:val="05613414"/>
    <w:rsid w:val="05B07B29"/>
    <w:rsid w:val="05B84F66"/>
    <w:rsid w:val="05F74EFB"/>
    <w:rsid w:val="06425AB2"/>
    <w:rsid w:val="08D03B4A"/>
    <w:rsid w:val="08ED26F1"/>
    <w:rsid w:val="0B7E4683"/>
    <w:rsid w:val="0CDE3363"/>
    <w:rsid w:val="0CE730A4"/>
    <w:rsid w:val="0FE650D4"/>
    <w:rsid w:val="14B13A4C"/>
    <w:rsid w:val="158D3296"/>
    <w:rsid w:val="1667789B"/>
    <w:rsid w:val="170B4F3A"/>
    <w:rsid w:val="17C32F5B"/>
    <w:rsid w:val="1840167D"/>
    <w:rsid w:val="1B722AF9"/>
    <w:rsid w:val="1D434104"/>
    <w:rsid w:val="1D655088"/>
    <w:rsid w:val="1EDC09AE"/>
    <w:rsid w:val="1FAA759E"/>
    <w:rsid w:val="20CF5E0F"/>
    <w:rsid w:val="21496E4A"/>
    <w:rsid w:val="256F1580"/>
    <w:rsid w:val="2C351DDC"/>
    <w:rsid w:val="2F395A0A"/>
    <w:rsid w:val="322534A4"/>
    <w:rsid w:val="330436AA"/>
    <w:rsid w:val="3385726B"/>
    <w:rsid w:val="3530544E"/>
    <w:rsid w:val="39A169DF"/>
    <w:rsid w:val="3C6C2B8E"/>
    <w:rsid w:val="3D5E3DB1"/>
    <w:rsid w:val="40F81EB4"/>
    <w:rsid w:val="47F56953"/>
    <w:rsid w:val="4C501F13"/>
    <w:rsid w:val="4DCE41D0"/>
    <w:rsid w:val="565041D2"/>
    <w:rsid w:val="57B013C2"/>
    <w:rsid w:val="580D2DCE"/>
    <w:rsid w:val="5812785F"/>
    <w:rsid w:val="582D7AA5"/>
    <w:rsid w:val="59FE6343"/>
    <w:rsid w:val="5A063C1E"/>
    <w:rsid w:val="5A227DF5"/>
    <w:rsid w:val="5CBF0063"/>
    <w:rsid w:val="5DE65F76"/>
    <w:rsid w:val="604364ED"/>
    <w:rsid w:val="61C5296B"/>
    <w:rsid w:val="622F60A6"/>
    <w:rsid w:val="628D4A5B"/>
    <w:rsid w:val="63FF0E5C"/>
    <w:rsid w:val="65515B48"/>
    <w:rsid w:val="66174246"/>
    <w:rsid w:val="662B3F0E"/>
    <w:rsid w:val="676573ED"/>
    <w:rsid w:val="6830728D"/>
    <w:rsid w:val="69F54C21"/>
    <w:rsid w:val="6A17799B"/>
    <w:rsid w:val="6A375D1E"/>
    <w:rsid w:val="6E2C7426"/>
    <w:rsid w:val="6EC260AF"/>
    <w:rsid w:val="70560693"/>
    <w:rsid w:val="70941C1B"/>
    <w:rsid w:val="727A74DA"/>
    <w:rsid w:val="74CD728F"/>
    <w:rsid w:val="75673686"/>
    <w:rsid w:val="7B0C2ED5"/>
    <w:rsid w:val="7D913368"/>
    <w:rsid w:val="7EC4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qFormat/>
    <w:uiPriority w:val="0"/>
    <w:rPr>
      <w:sz w:val="20"/>
      <w:szCs w:val="20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styleId="7">
    <w:name w:val="annotation reference"/>
    <w:basedOn w:val="5"/>
    <w:qFormat/>
    <w:uiPriority w:val="0"/>
    <w:rPr>
      <w:sz w:val="16"/>
      <w:szCs w:val="16"/>
    </w:rPr>
  </w:style>
  <w:style w:type="character" w:customStyle="1" w:styleId="8">
    <w:name w:val="font21"/>
    <w:basedOn w:val="5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9">
    <w:name w:val="批注文字 字符"/>
    <w:basedOn w:val="5"/>
    <w:link w:val="2"/>
    <w:qFormat/>
    <w:uiPriority w:val="0"/>
    <w:rPr>
      <w:rFonts w:asciiTheme="minorHAnsi" w:hAnsiTheme="minorHAnsi" w:eastAsiaTheme="minorEastAsia" w:cstheme="minorBidi"/>
      <w:kern w:val="2"/>
    </w:rPr>
  </w:style>
  <w:style w:type="paragraph" w:customStyle="1" w:styleId="10">
    <w:name w:val="EndNote Bibliography"/>
    <w:basedOn w:val="1"/>
    <w:qFormat/>
    <w:uiPriority w:val="0"/>
    <w:rPr>
      <w:rFonts w:ascii="Calibri" w:hAnsi="Calibri" w:cs="Calibri"/>
      <w:sz w:val="20"/>
    </w:rPr>
  </w:style>
  <w:style w:type="character" w:customStyle="1" w:styleId="11">
    <w:name w:val="批注框文本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EndNote Bibliography Title"/>
    <w:basedOn w:val="1"/>
    <w:link w:val="13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13">
    <w:name w:val="EndNote Bibliography Title 字符"/>
    <w:basedOn w:val="5"/>
    <w:link w:val="12"/>
    <w:qFormat/>
    <w:uiPriority w:val="0"/>
    <w:rPr>
      <w:rFonts w:ascii="Calibri" w:hAnsi="Calibri" w:cs="Calibri" w:eastAsiaTheme="minorEastAsia"/>
      <w:kern w:val="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1375</Words>
  <Characters>7843</Characters>
  <Lines>65</Lines>
  <Paragraphs>18</Paragraphs>
  <TotalTime>137</TotalTime>
  <ScaleCrop>false</ScaleCrop>
  <LinksUpToDate>false</LinksUpToDate>
  <CharactersWithSpaces>9200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2019-12-31T12:57:00Z</dcterms:created>
  <dc:creator> Bold  Bard</dc:creator>
  <cp:lastModifiedBy> Bold  Bard</cp:lastModifiedBy>
  <dcterms:modified xsi:type="dcterms:W3CDTF">2020-08-20T05:37:44Z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