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9DE0" w14:textId="77777777" w:rsidR="00B63A12" w:rsidRPr="00AE4EFA" w:rsidRDefault="00B63A12" w:rsidP="00603097">
      <w:pPr>
        <w:spacing w:line="480" w:lineRule="auto"/>
        <w:rPr>
          <w:b/>
          <w:bCs/>
          <w:sz w:val="28"/>
          <w:szCs w:val="28"/>
        </w:rPr>
      </w:pPr>
      <w:r w:rsidRPr="00AE4EFA">
        <w:rPr>
          <w:b/>
          <w:bCs/>
          <w:sz w:val="28"/>
          <w:szCs w:val="28"/>
        </w:rPr>
        <w:t xml:space="preserve">SUPPLEMENTARY </w:t>
      </w:r>
      <w:r>
        <w:rPr>
          <w:b/>
          <w:bCs/>
          <w:sz w:val="28"/>
          <w:szCs w:val="28"/>
        </w:rPr>
        <w:t>SECTION</w:t>
      </w:r>
    </w:p>
    <w:p w14:paraId="2F387EB5" w14:textId="77777777" w:rsidR="00B63A12" w:rsidRDefault="00B63A12" w:rsidP="00603097">
      <w:pPr>
        <w:spacing w:line="480" w:lineRule="auto"/>
        <w:rPr>
          <w:b/>
          <w:bCs/>
          <w:sz w:val="24"/>
          <w:szCs w:val="24"/>
        </w:rPr>
      </w:pPr>
    </w:p>
    <w:p w14:paraId="2561A18C" w14:textId="77777777" w:rsidR="00B63A12" w:rsidRPr="00513FF3" w:rsidRDefault="00B63A12" w:rsidP="00603097">
      <w:pPr>
        <w:spacing w:line="480" w:lineRule="auto"/>
        <w:rPr>
          <w:b/>
          <w:bCs/>
          <w:sz w:val="24"/>
          <w:szCs w:val="24"/>
        </w:rPr>
      </w:pPr>
      <w:r>
        <w:rPr>
          <w:b/>
          <w:bCs/>
          <w:sz w:val="24"/>
          <w:szCs w:val="24"/>
        </w:rPr>
        <w:t xml:space="preserve">METHODS </w:t>
      </w:r>
    </w:p>
    <w:p w14:paraId="2D7F4FC0" w14:textId="77777777" w:rsidR="00B63A12" w:rsidRPr="004B5E3C" w:rsidRDefault="00B63A12" w:rsidP="00603097">
      <w:pPr>
        <w:spacing w:line="480" w:lineRule="auto"/>
        <w:rPr>
          <w:rFonts w:asciiTheme="minorHAnsi" w:hAnsiTheme="minorHAnsi" w:cstheme="minorHAnsi"/>
          <w:b/>
          <w:bCs/>
          <w:sz w:val="24"/>
          <w:szCs w:val="24"/>
          <w:lang w:val="en-GB"/>
        </w:rPr>
      </w:pPr>
      <w:r w:rsidRPr="004B5E3C">
        <w:rPr>
          <w:rFonts w:asciiTheme="minorHAnsi" w:hAnsiTheme="minorHAnsi" w:cstheme="minorHAnsi"/>
          <w:b/>
          <w:bCs/>
          <w:sz w:val="24"/>
          <w:szCs w:val="24"/>
          <w:lang w:val="en-GB"/>
        </w:rPr>
        <w:t>Atrial fibrillation ablation protocols</w:t>
      </w:r>
    </w:p>
    <w:p w14:paraId="08235511" w14:textId="77777777" w:rsidR="00B63A12" w:rsidRPr="004B5E3C" w:rsidRDefault="00B63A12" w:rsidP="00603097">
      <w:pPr>
        <w:spacing w:line="480" w:lineRule="auto"/>
        <w:jc w:val="both"/>
        <w:rPr>
          <w:rFonts w:asciiTheme="minorHAnsi" w:hAnsiTheme="minorHAnsi" w:cstheme="minorHAnsi"/>
          <w:sz w:val="24"/>
          <w:szCs w:val="24"/>
          <w:lang w:val="en-GB"/>
        </w:rPr>
      </w:pPr>
      <w:r w:rsidRPr="004B5E3C">
        <w:rPr>
          <w:rFonts w:asciiTheme="minorHAnsi" w:hAnsiTheme="minorHAnsi" w:cstheme="minorHAnsi"/>
          <w:sz w:val="24"/>
          <w:szCs w:val="24"/>
          <w:lang w:val="en-GB"/>
        </w:rPr>
        <w:t>All AF ablations were performed in a standard fashion on uninterrupted therapeutic anticoagulation. After general anaesthesia and oro-tracheal intubation, transoesophageal echocardiogra</w:t>
      </w:r>
      <w:r>
        <w:rPr>
          <w:rFonts w:asciiTheme="minorHAnsi" w:hAnsiTheme="minorHAnsi" w:cstheme="minorHAnsi"/>
          <w:sz w:val="24"/>
          <w:szCs w:val="24"/>
          <w:lang w:val="en-GB"/>
        </w:rPr>
        <w:t>phy</w:t>
      </w:r>
      <w:r w:rsidRPr="004B5E3C">
        <w:rPr>
          <w:rFonts w:asciiTheme="minorHAnsi" w:hAnsiTheme="minorHAnsi" w:cstheme="minorHAnsi"/>
          <w:sz w:val="24"/>
          <w:szCs w:val="24"/>
          <w:lang w:val="en-GB"/>
        </w:rPr>
        <w:t xml:space="preserve"> was performed to rule out the presence of thrombus. After femoral venous access, LA access was obtained through one or two atrial trans-septal punctures performed under fluoroscopic and trans-oesophageal guidance. Heparin was administered to achieve and maintain Activated Clotting Time (ACT) values of 300-400 seconds throughout the procedure. Radiofrequency energy, cryoballoon or laser</w:t>
      </w:r>
      <w:r>
        <w:rPr>
          <w:rFonts w:asciiTheme="minorHAnsi" w:hAnsiTheme="minorHAnsi" w:cstheme="minorHAnsi"/>
          <w:sz w:val="24"/>
          <w:szCs w:val="24"/>
          <w:lang w:val="en-GB"/>
        </w:rPr>
        <w:t xml:space="preserve"> </w:t>
      </w:r>
      <w:r w:rsidRPr="004B5E3C">
        <w:rPr>
          <w:rFonts w:asciiTheme="minorHAnsi" w:hAnsiTheme="minorHAnsi" w:cstheme="minorHAnsi"/>
          <w:sz w:val="24"/>
          <w:szCs w:val="24"/>
          <w:lang w:val="en-GB"/>
        </w:rPr>
        <w:t xml:space="preserve">balloon were used for PVI as per operator preference.  </w:t>
      </w:r>
    </w:p>
    <w:p w14:paraId="4E831842" w14:textId="77777777" w:rsidR="00B63A12" w:rsidRPr="004B5E3C" w:rsidRDefault="00B63A12" w:rsidP="00603097">
      <w:pPr>
        <w:spacing w:line="480" w:lineRule="auto"/>
        <w:jc w:val="both"/>
        <w:rPr>
          <w:rFonts w:asciiTheme="minorHAnsi" w:hAnsiTheme="minorHAnsi" w:cstheme="minorHAnsi"/>
          <w:sz w:val="24"/>
          <w:szCs w:val="24"/>
          <w:lang w:val="en-GB"/>
        </w:rPr>
      </w:pPr>
      <w:r w:rsidRPr="004B5E3C">
        <w:rPr>
          <w:rFonts w:asciiTheme="minorHAnsi" w:hAnsiTheme="minorHAnsi" w:cstheme="minorHAnsi"/>
          <w:sz w:val="24"/>
          <w:szCs w:val="24"/>
          <w:lang w:val="en-GB"/>
        </w:rPr>
        <w:t>When using RF energy,</w:t>
      </w:r>
      <w:r>
        <w:rPr>
          <w:rFonts w:asciiTheme="minorHAnsi" w:hAnsiTheme="minorHAnsi" w:cstheme="minorHAnsi"/>
          <w:sz w:val="24"/>
          <w:szCs w:val="24"/>
          <w:lang w:val="en-GB"/>
        </w:rPr>
        <w:t xml:space="preserve"> a</w:t>
      </w:r>
      <w:r w:rsidRPr="004B5E3C">
        <w:rPr>
          <w:rFonts w:asciiTheme="minorHAnsi" w:hAnsiTheme="minorHAnsi" w:cstheme="minorHAnsi"/>
          <w:sz w:val="24"/>
          <w:szCs w:val="24"/>
          <w:lang w:val="en-GB"/>
        </w:rPr>
        <w:t xml:space="preserve"> 3D electroanatomic mapping system was used (EnSite Velocity, Abbott Medical, St Paul, MN, </w:t>
      </w:r>
      <w:proofErr w:type="gramStart"/>
      <w:r w:rsidRPr="004B5E3C">
        <w:rPr>
          <w:rFonts w:asciiTheme="minorHAnsi" w:hAnsiTheme="minorHAnsi" w:cstheme="minorHAnsi"/>
          <w:sz w:val="24"/>
          <w:szCs w:val="24"/>
          <w:lang w:val="en-GB"/>
        </w:rPr>
        <w:t>USA</w:t>
      </w:r>
      <w:proofErr w:type="gramEnd"/>
      <w:r w:rsidRPr="004B5E3C">
        <w:rPr>
          <w:rFonts w:asciiTheme="minorHAnsi" w:hAnsiTheme="minorHAnsi" w:cstheme="minorHAnsi"/>
          <w:sz w:val="24"/>
          <w:szCs w:val="24"/>
          <w:lang w:val="en-GB"/>
        </w:rPr>
        <w:t xml:space="preserve"> or CARTO mapping system, </w:t>
      </w:r>
      <w:proofErr w:type="spellStart"/>
      <w:r w:rsidRPr="004B5E3C">
        <w:rPr>
          <w:rFonts w:asciiTheme="minorHAnsi" w:hAnsiTheme="minorHAnsi" w:cstheme="minorHAnsi"/>
          <w:sz w:val="24"/>
          <w:szCs w:val="24"/>
          <w:lang w:val="en-GB"/>
        </w:rPr>
        <w:t>Biosense</w:t>
      </w:r>
      <w:proofErr w:type="spellEnd"/>
      <w:r w:rsidRPr="004B5E3C">
        <w:rPr>
          <w:rFonts w:asciiTheme="minorHAnsi" w:hAnsiTheme="minorHAnsi" w:cstheme="minorHAnsi"/>
          <w:sz w:val="24"/>
          <w:szCs w:val="24"/>
          <w:lang w:val="en-GB"/>
        </w:rPr>
        <w:t xml:space="preserve"> Webster, Inc, CA) to construct the LA and PVs geometry with a circular mapping catheter (Optima, Abbott Medical, St Paul, MN, USA or Lasso, </w:t>
      </w:r>
      <w:proofErr w:type="spellStart"/>
      <w:r w:rsidRPr="004B5E3C">
        <w:rPr>
          <w:rFonts w:asciiTheme="minorHAnsi" w:hAnsiTheme="minorHAnsi" w:cstheme="minorHAnsi"/>
          <w:sz w:val="24"/>
          <w:szCs w:val="24"/>
          <w:lang w:val="en-GB"/>
        </w:rPr>
        <w:t>Biosense</w:t>
      </w:r>
      <w:proofErr w:type="spellEnd"/>
      <w:r w:rsidRPr="004B5E3C">
        <w:rPr>
          <w:rFonts w:asciiTheme="minorHAnsi" w:hAnsiTheme="minorHAnsi" w:cstheme="minorHAnsi"/>
          <w:sz w:val="24"/>
          <w:szCs w:val="24"/>
          <w:lang w:val="en-GB"/>
        </w:rPr>
        <w:t xml:space="preserve"> Webster, Inc, CA, respectively). An irrigated-tip contact force sensing ablation catheter (</w:t>
      </w:r>
      <w:proofErr w:type="spellStart"/>
      <w:r w:rsidRPr="004B5E3C">
        <w:rPr>
          <w:rFonts w:asciiTheme="minorHAnsi" w:hAnsiTheme="minorHAnsi" w:cstheme="minorHAnsi"/>
          <w:sz w:val="24"/>
          <w:szCs w:val="24"/>
          <w:lang w:val="en-GB"/>
        </w:rPr>
        <w:t>Tacticath</w:t>
      </w:r>
      <w:proofErr w:type="spellEnd"/>
      <w:r w:rsidRPr="004B5E3C">
        <w:rPr>
          <w:rFonts w:asciiTheme="minorHAnsi" w:hAnsiTheme="minorHAnsi" w:cstheme="minorHAnsi"/>
          <w:sz w:val="24"/>
          <w:szCs w:val="24"/>
          <w:lang w:val="en-GB"/>
        </w:rPr>
        <w:t xml:space="preserve"> Quartz, Abbott Medical, St Paul, MN, USA or </w:t>
      </w:r>
      <w:proofErr w:type="spellStart"/>
      <w:r w:rsidRPr="004B5E3C">
        <w:rPr>
          <w:rFonts w:asciiTheme="minorHAnsi" w:hAnsiTheme="minorHAnsi" w:cstheme="minorHAnsi"/>
          <w:sz w:val="24"/>
          <w:szCs w:val="24"/>
          <w:lang w:val="en-GB"/>
        </w:rPr>
        <w:t>Thermocool</w:t>
      </w:r>
      <w:proofErr w:type="spellEnd"/>
      <w:r w:rsidRPr="004B5E3C">
        <w:rPr>
          <w:rFonts w:asciiTheme="minorHAnsi" w:hAnsiTheme="minorHAnsi" w:cstheme="minorHAnsi"/>
          <w:sz w:val="24"/>
          <w:szCs w:val="24"/>
          <w:lang w:val="en-GB"/>
        </w:rPr>
        <w:t xml:space="preserve"> </w:t>
      </w:r>
      <w:proofErr w:type="spellStart"/>
      <w:r w:rsidRPr="004B5E3C">
        <w:rPr>
          <w:rFonts w:asciiTheme="minorHAnsi" w:hAnsiTheme="minorHAnsi" w:cstheme="minorHAnsi"/>
          <w:sz w:val="24"/>
          <w:szCs w:val="24"/>
          <w:lang w:val="en-GB"/>
        </w:rPr>
        <w:t>SmartTouch</w:t>
      </w:r>
      <w:proofErr w:type="spellEnd"/>
      <w:r w:rsidRPr="004B5E3C">
        <w:rPr>
          <w:rFonts w:asciiTheme="minorHAnsi" w:hAnsiTheme="minorHAnsi" w:cstheme="minorHAnsi"/>
          <w:sz w:val="24"/>
          <w:szCs w:val="24"/>
          <w:lang w:val="en-GB"/>
        </w:rPr>
        <w:t xml:space="preserve">, </w:t>
      </w:r>
      <w:proofErr w:type="spellStart"/>
      <w:r w:rsidRPr="004B5E3C">
        <w:rPr>
          <w:rFonts w:asciiTheme="minorHAnsi" w:hAnsiTheme="minorHAnsi" w:cstheme="minorHAnsi"/>
          <w:sz w:val="24"/>
          <w:szCs w:val="24"/>
          <w:lang w:val="en-GB"/>
        </w:rPr>
        <w:t>Biosense</w:t>
      </w:r>
      <w:proofErr w:type="spellEnd"/>
      <w:r w:rsidRPr="004B5E3C">
        <w:rPr>
          <w:rFonts w:asciiTheme="minorHAnsi" w:hAnsiTheme="minorHAnsi" w:cstheme="minorHAnsi"/>
          <w:sz w:val="24"/>
          <w:szCs w:val="24"/>
          <w:lang w:val="en-GB"/>
        </w:rPr>
        <w:t xml:space="preserve"> Webster, Inc, CA) was used for ablation through a</w:t>
      </w:r>
      <w:r>
        <w:rPr>
          <w:rFonts w:asciiTheme="minorHAnsi" w:hAnsiTheme="minorHAnsi" w:cstheme="minorHAnsi"/>
          <w:sz w:val="24"/>
          <w:szCs w:val="24"/>
          <w:lang w:val="en-GB"/>
        </w:rPr>
        <w:t xml:space="preserve"> </w:t>
      </w:r>
      <w:r w:rsidRPr="004B5E3C">
        <w:rPr>
          <w:rFonts w:asciiTheme="minorHAnsi" w:hAnsiTheme="minorHAnsi" w:cstheme="minorHAnsi"/>
          <w:sz w:val="24"/>
          <w:szCs w:val="24"/>
          <w:lang w:val="en-GB"/>
        </w:rPr>
        <w:t>deflectable sheath (</w:t>
      </w:r>
      <w:r>
        <w:rPr>
          <w:rFonts w:asciiTheme="minorHAnsi" w:hAnsiTheme="minorHAnsi" w:cstheme="minorHAnsi"/>
          <w:sz w:val="24"/>
          <w:szCs w:val="24"/>
          <w:lang w:val="en-GB"/>
        </w:rPr>
        <w:t xml:space="preserve">Agilis, </w:t>
      </w:r>
      <w:r w:rsidRPr="004B5E3C">
        <w:rPr>
          <w:rFonts w:asciiTheme="minorHAnsi" w:hAnsiTheme="minorHAnsi" w:cstheme="minorHAnsi"/>
          <w:sz w:val="24"/>
          <w:szCs w:val="24"/>
          <w:lang w:val="en-GB"/>
        </w:rPr>
        <w:t>Abbott Medical, St Paul, MN, USA). Wide area antral PVI was performed in all patients using point-by-point ablation</w:t>
      </w:r>
      <w:r>
        <w:rPr>
          <w:rFonts w:asciiTheme="minorHAnsi" w:hAnsiTheme="minorHAnsi" w:cstheme="minorHAnsi"/>
          <w:sz w:val="24"/>
          <w:szCs w:val="24"/>
          <w:lang w:val="en-GB"/>
        </w:rPr>
        <w:t>,</w:t>
      </w:r>
      <w:r w:rsidRPr="004B5E3C">
        <w:rPr>
          <w:rFonts w:asciiTheme="minorHAnsi" w:hAnsiTheme="minorHAnsi" w:cstheme="minorHAnsi"/>
          <w:sz w:val="24"/>
          <w:szCs w:val="24"/>
          <w:lang w:val="en-GB"/>
        </w:rPr>
        <w:t xml:space="preserve"> with delivery of contiguous lesions on a predetermined encirclement. </w:t>
      </w:r>
      <w:r>
        <w:rPr>
          <w:rFonts w:asciiTheme="minorHAnsi" w:hAnsiTheme="minorHAnsi" w:cstheme="minorHAnsi"/>
          <w:sz w:val="24"/>
          <w:szCs w:val="24"/>
          <w:lang w:val="en-GB"/>
        </w:rPr>
        <w:t xml:space="preserve">A 40W power was used for ablation, aiming at a minimum contact force of 10 gr and targeting Lesion Size Index (LSI) values of 5/Ablation Index (AI) </w:t>
      </w:r>
      <w:r>
        <w:rPr>
          <w:rFonts w:asciiTheme="minorHAnsi" w:hAnsiTheme="minorHAnsi" w:cstheme="minorHAnsi"/>
          <w:sz w:val="24"/>
          <w:szCs w:val="24"/>
          <w:lang w:val="en-GB"/>
        </w:rPr>
        <w:lastRenderedPageBreak/>
        <w:t xml:space="preserve">values of 400 posteriorly and LSI values of 6/AI values of 550 anteriorly. </w:t>
      </w:r>
      <w:r w:rsidRPr="004B5E3C">
        <w:rPr>
          <w:rFonts w:asciiTheme="minorHAnsi" w:hAnsiTheme="minorHAnsi" w:cstheme="minorHAnsi"/>
          <w:sz w:val="24"/>
          <w:szCs w:val="24"/>
          <w:lang w:val="en-GB"/>
        </w:rPr>
        <w:t xml:space="preserve">The left and right veins were treated as pairs, with additional ablation </w:t>
      </w:r>
      <w:r>
        <w:rPr>
          <w:rFonts w:asciiTheme="minorHAnsi" w:hAnsiTheme="minorHAnsi" w:cstheme="minorHAnsi"/>
          <w:sz w:val="24"/>
          <w:szCs w:val="24"/>
          <w:lang w:val="en-GB"/>
        </w:rPr>
        <w:t>performed</w:t>
      </w:r>
      <w:r w:rsidRPr="004B5E3C">
        <w:rPr>
          <w:rFonts w:asciiTheme="minorHAnsi" w:hAnsiTheme="minorHAnsi" w:cstheme="minorHAnsi"/>
          <w:sz w:val="24"/>
          <w:szCs w:val="24"/>
          <w:lang w:val="en-GB"/>
        </w:rPr>
        <w:t xml:space="preserve"> at the carina between upper and lower veins</w:t>
      </w:r>
      <w:r>
        <w:rPr>
          <w:rFonts w:asciiTheme="minorHAnsi" w:hAnsiTheme="minorHAnsi" w:cstheme="minorHAnsi"/>
          <w:sz w:val="24"/>
          <w:szCs w:val="24"/>
          <w:lang w:val="en-GB"/>
        </w:rPr>
        <w:t xml:space="preserve"> </w:t>
      </w:r>
      <w:r w:rsidRPr="004B5E3C">
        <w:rPr>
          <w:rFonts w:asciiTheme="minorHAnsi" w:hAnsiTheme="minorHAnsi" w:cstheme="minorHAnsi"/>
          <w:sz w:val="24"/>
          <w:szCs w:val="24"/>
          <w:lang w:val="en-GB"/>
        </w:rPr>
        <w:t xml:space="preserve">if circumferential encirclement failed to isolate both veins. Pulmonary Vein Isolation was confirmed by disappearance of </w:t>
      </w:r>
      <w:r>
        <w:rPr>
          <w:rFonts w:asciiTheme="minorHAnsi" w:hAnsiTheme="minorHAnsi" w:cstheme="minorHAnsi"/>
          <w:sz w:val="24"/>
          <w:szCs w:val="24"/>
          <w:lang w:val="en-GB"/>
        </w:rPr>
        <w:t>PV</w:t>
      </w:r>
      <w:r w:rsidRPr="004B5E3C">
        <w:rPr>
          <w:rFonts w:asciiTheme="minorHAnsi" w:hAnsiTheme="minorHAnsi" w:cstheme="minorHAnsi"/>
          <w:sz w:val="24"/>
          <w:szCs w:val="24"/>
          <w:lang w:val="en-GB"/>
        </w:rPr>
        <w:t xml:space="preserve"> potentials or evidence of dissociated </w:t>
      </w:r>
      <w:r>
        <w:rPr>
          <w:rFonts w:asciiTheme="minorHAnsi" w:hAnsiTheme="minorHAnsi" w:cstheme="minorHAnsi"/>
          <w:sz w:val="24"/>
          <w:szCs w:val="24"/>
          <w:lang w:val="en-GB"/>
        </w:rPr>
        <w:t>PV</w:t>
      </w:r>
      <w:r w:rsidRPr="004B5E3C">
        <w:rPr>
          <w:rFonts w:asciiTheme="minorHAnsi" w:hAnsiTheme="minorHAnsi" w:cstheme="minorHAnsi"/>
          <w:sz w:val="24"/>
          <w:szCs w:val="24"/>
          <w:lang w:val="en-GB"/>
        </w:rPr>
        <w:t xml:space="preserve"> potentials and PV entrance and exit block with pacing. </w:t>
      </w:r>
    </w:p>
    <w:p w14:paraId="164686D4" w14:textId="77777777" w:rsidR="00B63A12" w:rsidRPr="004B5E3C" w:rsidRDefault="00B63A12" w:rsidP="00603097">
      <w:pPr>
        <w:spacing w:line="480" w:lineRule="auto"/>
        <w:jc w:val="both"/>
        <w:rPr>
          <w:rFonts w:asciiTheme="minorHAnsi" w:hAnsiTheme="minorHAnsi" w:cstheme="minorHAnsi"/>
          <w:sz w:val="24"/>
          <w:szCs w:val="24"/>
          <w:lang w:val="en-GB"/>
        </w:rPr>
      </w:pPr>
      <w:r w:rsidRPr="004B5E3C">
        <w:rPr>
          <w:rFonts w:asciiTheme="minorHAnsi" w:hAnsiTheme="minorHAnsi" w:cstheme="minorHAnsi"/>
          <w:sz w:val="24"/>
          <w:szCs w:val="24"/>
          <w:lang w:val="en-GB"/>
        </w:rPr>
        <w:t xml:space="preserve">When using cryoenergy, LA and PV angiography were performed to delineate anatomy. A </w:t>
      </w:r>
      <w:proofErr w:type="spellStart"/>
      <w:r w:rsidRPr="004B5E3C">
        <w:rPr>
          <w:rFonts w:asciiTheme="minorHAnsi" w:hAnsiTheme="minorHAnsi" w:cstheme="minorHAnsi"/>
          <w:sz w:val="24"/>
          <w:szCs w:val="24"/>
          <w:lang w:val="en-GB"/>
        </w:rPr>
        <w:t>FlexCath</w:t>
      </w:r>
      <w:proofErr w:type="spellEnd"/>
      <w:r w:rsidRPr="004B5E3C">
        <w:rPr>
          <w:rFonts w:asciiTheme="minorHAnsi" w:hAnsiTheme="minorHAnsi" w:cstheme="minorHAnsi"/>
          <w:sz w:val="24"/>
          <w:szCs w:val="24"/>
          <w:lang w:val="en-GB"/>
        </w:rPr>
        <w:t xml:space="preserve"> (Medtronic, Minneapolis, MN, USA) was advanced to the LA and used to deliver a 28 mm Arctic Front Advance</w:t>
      </w:r>
      <w:r w:rsidRPr="00416104">
        <w:rPr>
          <w:rFonts w:asciiTheme="minorHAnsi" w:hAnsiTheme="minorHAnsi" w:cstheme="minorHAnsi"/>
          <w:sz w:val="24"/>
          <w:szCs w:val="24"/>
          <w:lang w:val="en-GB"/>
        </w:rPr>
        <w:t xml:space="preserve"> </w:t>
      </w:r>
      <w:r w:rsidRPr="004B5E3C">
        <w:rPr>
          <w:rFonts w:asciiTheme="minorHAnsi" w:hAnsiTheme="minorHAnsi" w:cstheme="minorHAnsi"/>
          <w:sz w:val="24"/>
          <w:szCs w:val="24"/>
          <w:lang w:val="en-GB"/>
        </w:rPr>
        <w:t xml:space="preserve">cryoablation balloon (Medtronic, Minneapolis, MN, USA). The balloon was inflated at the ostium of each PV. After retrograde PV angiography, to demonstrate PV occlusion, one or more </w:t>
      </w:r>
      <w:r>
        <w:rPr>
          <w:rFonts w:asciiTheme="minorHAnsi" w:hAnsiTheme="minorHAnsi" w:cstheme="minorHAnsi"/>
          <w:sz w:val="24"/>
          <w:szCs w:val="24"/>
          <w:lang w:val="en-GB"/>
        </w:rPr>
        <w:t xml:space="preserve">4-minute </w:t>
      </w:r>
      <w:r w:rsidRPr="004B5E3C">
        <w:rPr>
          <w:rFonts w:asciiTheme="minorHAnsi" w:hAnsiTheme="minorHAnsi" w:cstheme="minorHAnsi"/>
          <w:sz w:val="24"/>
          <w:szCs w:val="24"/>
          <w:lang w:val="en-GB"/>
        </w:rPr>
        <w:t xml:space="preserve">freezes were performed in each PV until PVI was achieved.  Pulmonary Vein Isolation was confirmed by disappearance of PV potentials or evidence of dissociated PV potentials and PV entrance and exit block with pacing, by using an Achieve guidewire (Medtronic, Minneapolis, MN, USA). </w:t>
      </w:r>
    </w:p>
    <w:p w14:paraId="2AAF273E" w14:textId="77777777" w:rsidR="00B63A12" w:rsidRDefault="00B63A12" w:rsidP="00603097">
      <w:pPr>
        <w:spacing w:line="480" w:lineRule="auto"/>
        <w:jc w:val="both"/>
        <w:rPr>
          <w:rFonts w:cstheme="minorHAnsi"/>
          <w:sz w:val="24"/>
          <w:szCs w:val="24"/>
        </w:rPr>
      </w:pPr>
      <w:r w:rsidRPr="004B5E3C">
        <w:rPr>
          <w:rFonts w:asciiTheme="minorHAnsi" w:hAnsiTheme="minorHAnsi" w:cstheme="minorHAnsi"/>
          <w:sz w:val="24"/>
          <w:szCs w:val="24"/>
          <w:lang w:val="en-GB"/>
        </w:rPr>
        <w:t>When using laser energy, a laser balloon system (</w:t>
      </w:r>
      <w:proofErr w:type="spellStart"/>
      <w:r w:rsidRPr="004B5E3C">
        <w:rPr>
          <w:rFonts w:asciiTheme="minorHAnsi" w:hAnsiTheme="minorHAnsi" w:cstheme="minorHAnsi"/>
          <w:sz w:val="24"/>
          <w:szCs w:val="24"/>
          <w:lang w:val="en-GB"/>
        </w:rPr>
        <w:t>HeartLight</w:t>
      </w:r>
      <w:proofErr w:type="spellEnd"/>
      <w:r w:rsidRPr="004B5E3C">
        <w:rPr>
          <w:rFonts w:asciiTheme="minorHAnsi" w:hAnsiTheme="minorHAnsi" w:cstheme="minorHAnsi"/>
          <w:sz w:val="24"/>
          <w:szCs w:val="24"/>
          <w:lang w:val="en-GB"/>
        </w:rPr>
        <w:t xml:space="preserve">, </w:t>
      </w:r>
      <w:proofErr w:type="spellStart"/>
      <w:r w:rsidRPr="004B5E3C">
        <w:rPr>
          <w:rFonts w:asciiTheme="minorHAnsi" w:hAnsiTheme="minorHAnsi" w:cstheme="minorHAnsi"/>
          <w:sz w:val="24"/>
          <w:szCs w:val="24"/>
          <w:lang w:val="en-GB"/>
        </w:rPr>
        <w:t>CardioFocus</w:t>
      </w:r>
      <w:proofErr w:type="spellEnd"/>
      <w:r w:rsidRPr="004B5E3C">
        <w:rPr>
          <w:rFonts w:asciiTheme="minorHAnsi" w:hAnsiTheme="minorHAnsi" w:cstheme="minorHAnsi"/>
          <w:sz w:val="24"/>
          <w:szCs w:val="24"/>
          <w:lang w:val="en-GB"/>
        </w:rPr>
        <w:t xml:space="preserve">) was delivered to the LA through a 12-F deflectable sheath and inflated at the ostium of each PV. Ablation lesions were delivered in a circumferential, contiguous, and overlapping manner around the PV using 5–12 W power whilst simultaneously undertaking oesophageal temperature monitoring. Pulmonary Vein isolation was confirmed by disappearance of </w:t>
      </w:r>
      <w:r>
        <w:rPr>
          <w:rFonts w:asciiTheme="minorHAnsi" w:hAnsiTheme="minorHAnsi" w:cstheme="minorHAnsi"/>
          <w:sz w:val="24"/>
          <w:szCs w:val="24"/>
          <w:lang w:val="en-GB"/>
        </w:rPr>
        <w:t>PV</w:t>
      </w:r>
      <w:r w:rsidRPr="004B5E3C">
        <w:rPr>
          <w:rFonts w:asciiTheme="minorHAnsi" w:hAnsiTheme="minorHAnsi" w:cstheme="minorHAnsi"/>
          <w:sz w:val="24"/>
          <w:szCs w:val="24"/>
          <w:lang w:val="en-GB"/>
        </w:rPr>
        <w:t xml:space="preserve"> potentials or evidence of dissociated PV potentials and PV entrance and exit block with pacing, by using an Achieve guidewire (Medtronic, Minneapolis, MN, USA).</w:t>
      </w:r>
    </w:p>
    <w:p w14:paraId="1C814028" w14:textId="77777777" w:rsidR="00B63A12" w:rsidRDefault="00B63A12" w:rsidP="00603097">
      <w:pPr>
        <w:spacing w:line="480" w:lineRule="auto"/>
        <w:jc w:val="both"/>
        <w:rPr>
          <w:rFonts w:cstheme="minorHAnsi"/>
          <w:sz w:val="24"/>
          <w:szCs w:val="24"/>
        </w:rPr>
      </w:pPr>
    </w:p>
    <w:p w14:paraId="2586EEB6" w14:textId="77777777" w:rsidR="00B63A12" w:rsidRDefault="00B63A12" w:rsidP="00603097">
      <w:pPr>
        <w:spacing w:line="480" w:lineRule="auto"/>
        <w:jc w:val="both"/>
        <w:rPr>
          <w:rFonts w:cstheme="minorHAnsi"/>
          <w:b/>
          <w:bCs/>
          <w:sz w:val="24"/>
          <w:szCs w:val="24"/>
        </w:rPr>
      </w:pPr>
    </w:p>
    <w:p w14:paraId="44808E17" w14:textId="77777777" w:rsidR="00B63A12" w:rsidRPr="00CB4D36" w:rsidRDefault="00B63A12" w:rsidP="00603097">
      <w:pPr>
        <w:spacing w:line="480" w:lineRule="auto"/>
        <w:jc w:val="both"/>
        <w:rPr>
          <w:rFonts w:cstheme="minorHAnsi"/>
          <w:b/>
          <w:bCs/>
          <w:sz w:val="24"/>
          <w:szCs w:val="24"/>
        </w:rPr>
      </w:pPr>
      <w:r w:rsidRPr="00CB4D36">
        <w:rPr>
          <w:rFonts w:cstheme="minorHAnsi"/>
          <w:b/>
          <w:bCs/>
          <w:sz w:val="24"/>
          <w:szCs w:val="24"/>
        </w:rPr>
        <w:lastRenderedPageBreak/>
        <w:t xml:space="preserve">RESULTS </w:t>
      </w:r>
    </w:p>
    <w:p w14:paraId="36C09FE4" w14:textId="6304A0F7" w:rsidR="00CB2717" w:rsidRDefault="00CB2717" w:rsidP="00603097">
      <w:pPr>
        <w:pStyle w:val="Caption"/>
        <w:keepNext/>
        <w:spacing w:line="480" w:lineRule="auto"/>
        <w:rPr>
          <w:rFonts w:asciiTheme="minorHAnsi" w:hAnsiTheme="minorHAnsi" w:cstheme="minorHAnsi"/>
          <w:b/>
          <w:bCs/>
          <w:i w:val="0"/>
          <w:iCs w:val="0"/>
          <w:color w:val="auto"/>
          <w:sz w:val="24"/>
          <w:szCs w:val="24"/>
        </w:rPr>
      </w:pPr>
      <w:r w:rsidRPr="00CB2717">
        <w:rPr>
          <w:rFonts w:asciiTheme="minorHAnsi" w:hAnsiTheme="minorHAnsi" w:cstheme="minorHAnsi"/>
          <w:b/>
          <w:bCs/>
          <w:i w:val="0"/>
          <w:iCs w:val="0"/>
          <w:color w:val="auto"/>
          <w:sz w:val="24"/>
          <w:szCs w:val="24"/>
        </w:rPr>
        <w:t>Study population</w:t>
      </w:r>
    </w:p>
    <w:p w14:paraId="43A01F10" w14:textId="77777777" w:rsidR="00CB2717" w:rsidRPr="00CB2717" w:rsidRDefault="00CB2717" w:rsidP="00603097">
      <w:pPr>
        <w:spacing w:line="480" w:lineRule="auto"/>
      </w:pPr>
    </w:p>
    <w:p w14:paraId="415250AF" w14:textId="306FC2D7" w:rsidR="00CB2717" w:rsidRPr="008D51D3" w:rsidRDefault="00CB2717" w:rsidP="00603097">
      <w:pPr>
        <w:pStyle w:val="Caption"/>
        <w:keepNext/>
        <w:spacing w:line="480" w:lineRule="auto"/>
        <w:rPr>
          <w:rFonts w:asciiTheme="minorHAnsi" w:hAnsiTheme="minorHAnsi" w:cstheme="minorHAnsi"/>
          <w:b/>
          <w:bCs/>
          <w:i w:val="0"/>
          <w:iCs w:val="0"/>
          <w:color w:val="auto"/>
          <w:sz w:val="24"/>
          <w:szCs w:val="24"/>
        </w:rPr>
      </w:pPr>
      <w:r w:rsidRPr="008D51D3">
        <w:rPr>
          <w:rFonts w:asciiTheme="minorHAnsi" w:hAnsiTheme="minorHAnsi" w:cstheme="minorHAnsi"/>
          <w:b/>
          <w:bCs/>
          <w:i w:val="0"/>
          <w:iCs w:val="0"/>
          <w:color w:val="auto"/>
          <w:sz w:val="24"/>
          <w:szCs w:val="24"/>
        </w:rPr>
        <w:t xml:space="preserve">Table </w:t>
      </w:r>
      <w:r>
        <w:rPr>
          <w:rFonts w:asciiTheme="minorHAnsi" w:hAnsiTheme="minorHAnsi" w:cstheme="minorHAnsi"/>
          <w:b/>
          <w:bCs/>
          <w:i w:val="0"/>
          <w:iCs w:val="0"/>
          <w:color w:val="auto"/>
          <w:sz w:val="24"/>
          <w:szCs w:val="24"/>
        </w:rPr>
        <w:t>A</w:t>
      </w:r>
      <w:r w:rsidRPr="008D51D3">
        <w:rPr>
          <w:rFonts w:asciiTheme="minorHAnsi" w:hAnsiTheme="minorHAnsi" w:cstheme="minorHAnsi"/>
          <w:b/>
          <w:bCs/>
          <w:i w:val="0"/>
          <w:iCs w:val="0"/>
          <w:color w:val="auto"/>
          <w:sz w:val="24"/>
          <w:szCs w:val="24"/>
        </w:rPr>
        <w:t>. Patients' baseline characteristics</w:t>
      </w:r>
    </w:p>
    <w:tbl>
      <w:tblPr>
        <w:tblStyle w:val="PlainTable21"/>
        <w:tblW w:w="0" w:type="auto"/>
        <w:tblLook w:val="04A0" w:firstRow="1" w:lastRow="0" w:firstColumn="1" w:lastColumn="0" w:noHBand="0" w:noVBand="1"/>
      </w:tblPr>
      <w:tblGrid>
        <w:gridCol w:w="4673"/>
        <w:gridCol w:w="2368"/>
      </w:tblGrid>
      <w:tr w:rsidR="00CB2717" w:rsidRPr="008D51D3" w14:paraId="168C12B4" w14:textId="77777777" w:rsidTr="007E6050">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673" w:type="dxa"/>
          </w:tcPr>
          <w:p w14:paraId="0DEE0DC3" w14:textId="77777777" w:rsidR="00CB2717" w:rsidRPr="008D51D3" w:rsidRDefault="00CB2717" w:rsidP="00603097">
            <w:pPr>
              <w:spacing w:after="100" w:afterAutospacing="1" w:line="480" w:lineRule="auto"/>
              <w:rPr>
                <w:rFonts w:asciiTheme="minorHAnsi" w:hAnsiTheme="minorHAnsi" w:cstheme="minorHAnsi"/>
                <w:bCs w:val="0"/>
                <w:sz w:val="24"/>
                <w:szCs w:val="24"/>
              </w:rPr>
            </w:pPr>
            <w:r w:rsidRPr="008D51D3">
              <w:rPr>
                <w:rFonts w:asciiTheme="minorHAnsi" w:hAnsiTheme="minorHAnsi" w:cstheme="minorHAnsi"/>
                <w:bCs w:val="0"/>
                <w:sz w:val="24"/>
                <w:szCs w:val="24"/>
              </w:rPr>
              <w:t>Total number of patients</w:t>
            </w:r>
          </w:p>
        </w:tc>
        <w:tc>
          <w:tcPr>
            <w:tcW w:w="2368" w:type="dxa"/>
          </w:tcPr>
          <w:p w14:paraId="0092B08F" w14:textId="77777777" w:rsidR="00CB2717" w:rsidRPr="008D51D3" w:rsidRDefault="00CB2717" w:rsidP="00603097">
            <w:pPr>
              <w:spacing w:after="100" w:afterAutospacing="1"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D51D3">
              <w:rPr>
                <w:rFonts w:asciiTheme="minorHAnsi" w:hAnsiTheme="minorHAnsi" w:cstheme="minorHAnsi"/>
                <w:b w:val="0"/>
                <w:bCs w:val="0"/>
                <w:sz w:val="24"/>
                <w:szCs w:val="24"/>
              </w:rPr>
              <w:t>12</w:t>
            </w:r>
          </w:p>
        </w:tc>
      </w:tr>
      <w:tr w:rsidR="00CB2717" w:rsidRPr="008D51D3" w14:paraId="67284A53" w14:textId="77777777" w:rsidTr="007E6050">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673" w:type="dxa"/>
          </w:tcPr>
          <w:p w14:paraId="16B63213" w14:textId="77777777" w:rsidR="00CB2717" w:rsidRPr="008D51D3" w:rsidRDefault="00CB2717" w:rsidP="00603097">
            <w:pPr>
              <w:spacing w:after="100" w:afterAutospacing="1" w:line="480" w:lineRule="auto"/>
              <w:rPr>
                <w:rFonts w:asciiTheme="minorHAnsi" w:hAnsiTheme="minorHAnsi" w:cstheme="minorHAnsi"/>
                <w:b w:val="0"/>
                <w:sz w:val="24"/>
                <w:szCs w:val="24"/>
              </w:rPr>
            </w:pPr>
            <w:r w:rsidRPr="008D51D3">
              <w:rPr>
                <w:rFonts w:asciiTheme="minorHAnsi" w:hAnsiTheme="minorHAnsi" w:cstheme="minorHAnsi"/>
                <w:bCs w:val="0"/>
                <w:sz w:val="24"/>
                <w:szCs w:val="24"/>
              </w:rPr>
              <w:t>Age (years)</w:t>
            </w:r>
            <w:r w:rsidRPr="008D51D3">
              <w:rPr>
                <w:rFonts w:asciiTheme="minorHAnsi" w:hAnsiTheme="minorHAnsi" w:cstheme="minorHAnsi"/>
                <w:b w:val="0"/>
                <w:sz w:val="24"/>
                <w:szCs w:val="24"/>
              </w:rPr>
              <w:t xml:space="preserve">, </w:t>
            </w:r>
            <w:r w:rsidRPr="008D51D3">
              <w:rPr>
                <w:rFonts w:asciiTheme="minorHAnsi" w:hAnsiTheme="minorHAnsi" w:cstheme="minorHAnsi"/>
                <w:b w:val="0"/>
                <w:bCs w:val="0"/>
                <w:sz w:val="24"/>
                <w:szCs w:val="24"/>
              </w:rPr>
              <w:t>mean ± SD</w:t>
            </w:r>
          </w:p>
        </w:tc>
        <w:tc>
          <w:tcPr>
            <w:tcW w:w="2368" w:type="dxa"/>
          </w:tcPr>
          <w:p w14:paraId="66ABC819" w14:textId="77777777" w:rsidR="00CB2717" w:rsidRPr="008D51D3" w:rsidRDefault="00CB2717" w:rsidP="00603097">
            <w:pPr>
              <w:spacing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D51D3">
              <w:rPr>
                <w:rFonts w:asciiTheme="minorHAnsi" w:hAnsiTheme="minorHAnsi" w:cstheme="minorHAnsi"/>
                <w:sz w:val="24"/>
                <w:szCs w:val="24"/>
              </w:rPr>
              <w:t>64.8 ± 11.8</w:t>
            </w:r>
          </w:p>
        </w:tc>
      </w:tr>
      <w:tr w:rsidR="00CB2717" w:rsidRPr="008D51D3" w14:paraId="743F6699" w14:textId="77777777" w:rsidTr="007E6050">
        <w:trPr>
          <w:trHeight w:val="593"/>
        </w:trPr>
        <w:tc>
          <w:tcPr>
            <w:cnfStyle w:val="001000000000" w:firstRow="0" w:lastRow="0" w:firstColumn="1" w:lastColumn="0" w:oddVBand="0" w:evenVBand="0" w:oddHBand="0" w:evenHBand="0" w:firstRowFirstColumn="0" w:firstRowLastColumn="0" w:lastRowFirstColumn="0" w:lastRowLastColumn="0"/>
            <w:tcW w:w="4673" w:type="dxa"/>
          </w:tcPr>
          <w:p w14:paraId="0FB82F37" w14:textId="77777777" w:rsidR="00CB2717" w:rsidRPr="008D51D3" w:rsidRDefault="00CB2717" w:rsidP="00603097">
            <w:pPr>
              <w:spacing w:after="100" w:afterAutospacing="1" w:line="480" w:lineRule="auto"/>
              <w:rPr>
                <w:rFonts w:asciiTheme="minorHAnsi" w:hAnsiTheme="minorHAnsi" w:cstheme="minorHAnsi"/>
                <w:b w:val="0"/>
                <w:sz w:val="24"/>
                <w:szCs w:val="24"/>
              </w:rPr>
            </w:pPr>
            <w:r w:rsidRPr="008D51D3">
              <w:rPr>
                <w:rFonts w:asciiTheme="minorHAnsi" w:hAnsiTheme="minorHAnsi" w:cstheme="minorHAnsi"/>
                <w:bCs w:val="0"/>
                <w:sz w:val="24"/>
                <w:szCs w:val="24"/>
              </w:rPr>
              <w:t>Sex (males)</w:t>
            </w:r>
            <w:r w:rsidRPr="008D51D3">
              <w:rPr>
                <w:rFonts w:asciiTheme="minorHAnsi" w:hAnsiTheme="minorHAnsi" w:cstheme="minorHAnsi"/>
                <w:b w:val="0"/>
                <w:sz w:val="24"/>
                <w:szCs w:val="24"/>
              </w:rPr>
              <w:t xml:space="preserve">, </w:t>
            </w:r>
            <w:r w:rsidRPr="008D51D3">
              <w:rPr>
                <w:rFonts w:asciiTheme="minorHAnsi" w:hAnsiTheme="minorHAnsi" w:cstheme="minorHAnsi"/>
                <w:b w:val="0"/>
                <w:bCs w:val="0"/>
                <w:sz w:val="24"/>
                <w:szCs w:val="24"/>
              </w:rPr>
              <w:t>number of patients (%)</w:t>
            </w:r>
          </w:p>
        </w:tc>
        <w:tc>
          <w:tcPr>
            <w:tcW w:w="2368" w:type="dxa"/>
          </w:tcPr>
          <w:p w14:paraId="27F81B63" w14:textId="77777777" w:rsidR="00CB2717" w:rsidRPr="008D51D3" w:rsidRDefault="00CB2717" w:rsidP="00603097">
            <w:pPr>
              <w:spacing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D51D3">
              <w:rPr>
                <w:rFonts w:asciiTheme="minorHAnsi" w:hAnsiTheme="minorHAnsi" w:cstheme="minorHAnsi"/>
                <w:sz w:val="24"/>
                <w:szCs w:val="24"/>
              </w:rPr>
              <w:t>4 (33%)</w:t>
            </w:r>
          </w:p>
        </w:tc>
      </w:tr>
      <w:tr w:rsidR="00CB2717" w:rsidRPr="008D51D3" w14:paraId="38FF5400" w14:textId="77777777" w:rsidTr="007E605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673" w:type="dxa"/>
          </w:tcPr>
          <w:p w14:paraId="3F500048" w14:textId="77777777" w:rsidR="00CB2717" w:rsidRPr="008D51D3" w:rsidRDefault="00CB2717" w:rsidP="00603097">
            <w:pPr>
              <w:spacing w:after="100" w:afterAutospacing="1" w:line="480" w:lineRule="auto"/>
              <w:rPr>
                <w:rFonts w:asciiTheme="minorHAnsi" w:hAnsiTheme="minorHAnsi" w:cstheme="minorHAnsi"/>
                <w:sz w:val="24"/>
                <w:szCs w:val="24"/>
              </w:rPr>
            </w:pPr>
            <w:r>
              <w:rPr>
                <w:rFonts w:asciiTheme="minorHAnsi" w:hAnsiTheme="minorHAnsi" w:cstheme="minorHAnsi"/>
                <w:sz w:val="24"/>
                <w:szCs w:val="24"/>
              </w:rPr>
              <w:t xml:space="preserve">Diabetes, </w:t>
            </w:r>
            <w:r w:rsidRPr="008D51D3">
              <w:rPr>
                <w:rFonts w:asciiTheme="minorHAnsi" w:hAnsiTheme="minorHAnsi" w:cstheme="minorHAnsi"/>
                <w:b w:val="0"/>
                <w:bCs w:val="0"/>
                <w:sz w:val="24"/>
                <w:szCs w:val="24"/>
              </w:rPr>
              <w:t>number of patients (%)</w:t>
            </w:r>
          </w:p>
        </w:tc>
        <w:tc>
          <w:tcPr>
            <w:tcW w:w="2368" w:type="dxa"/>
          </w:tcPr>
          <w:p w14:paraId="7B279801" w14:textId="77777777" w:rsidR="00CB2717" w:rsidRPr="008D51D3" w:rsidRDefault="00CB2717" w:rsidP="00603097">
            <w:pPr>
              <w:spacing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 (8.3%)</w:t>
            </w:r>
          </w:p>
        </w:tc>
      </w:tr>
      <w:tr w:rsidR="00CB2717" w:rsidRPr="008D51D3" w14:paraId="3E1303A0" w14:textId="77777777" w:rsidTr="007E6050">
        <w:trPr>
          <w:trHeight w:val="636"/>
        </w:trPr>
        <w:tc>
          <w:tcPr>
            <w:cnfStyle w:val="001000000000" w:firstRow="0" w:lastRow="0" w:firstColumn="1" w:lastColumn="0" w:oddVBand="0" w:evenVBand="0" w:oddHBand="0" w:evenHBand="0" w:firstRowFirstColumn="0" w:firstRowLastColumn="0" w:lastRowFirstColumn="0" w:lastRowLastColumn="0"/>
            <w:tcW w:w="4673" w:type="dxa"/>
          </w:tcPr>
          <w:p w14:paraId="364664BC" w14:textId="77777777" w:rsidR="00CB2717" w:rsidRPr="008D51D3" w:rsidRDefault="00CB2717" w:rsidP="00603097">
            <w:pPr>
              <w:spacing w:after="100" w:afterAutospacing="1" w:line="480" w:lineRule="auto"/>
              <w:rPr>
                <w:rFonts w:asciiTheme="minorHAnsi" w:hAnsiTheme="minorHAnsi" w:cstheme="minorHAnsi"/>
                <w:sz w:val="24"/>
                <w:szCs w:val="24"/>
              </w:rPr>
            </w:pPr>
            <w:r>
              <w:rPr>
                <w:rFonts w:asciiTheme="minorHAnsi" w:hAnsiTheme="minorHAnsi" w:cstheme="minorHAnsi"/>
                <w:sz w:val="24"/>
                <w:szCs w:val="24"/>
              </w:rPr>
              <w:t xml:space="preserve">Hypertension, </w:t>
            </w:r>
            <w:r w:rsidRPr="008D51D3">
              <w:rPr>
                <w:rFonts w:asciiTheme="minorHAnsi" w:hAnsiTheme="minorHAnsi" w:cstheme="minorHAnsi"/>
                <w:b w:val="0"/>
                <w:bCs w:val="0"/>
                <w:sz w:val="24"/>
                <w:szCs w:val="24"/>
              </w:rPr>
              <w:t>number of patients (%)</w:t>
            </w:r>
          </w:p>
        </w:tc>
        <w:tc>
          <w:tcPr>
            <w:tcW w:w="2368" w:type="dxa"/>
          </w:tcPr>
          <w:p w14:paraId="459346E1" w14:textId="77777777" w:rsidR="00CB2717" w:rsidRPr="008D51D3" w:rsidRDefault="00CB2717" w:rsidP="00603097">
            <w:pPr>
              <w:spacing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4 (33%)</w:t>
            </w:r>
          </w:p>
        </w:tc>
      </w:tr>
      <w:tr w:rsidR="00CB2717" w:rsidRPr="008D51D3" w14:paraId="2D4CC484" w14:textId="77777777" w:rsidTr="007E605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673" w:type="dxa"/>
          </w:tcPr>
          <w:p w14:paraId="7A7EDB73" w14:textId="77777777" w:rsidR="00CB2717" w:rsidRPr="008D51D3" w:rsidRDefault="00CB2717" w:rsidP="00603097">
            <w:pPr>
              <w:spacing w:after="100" w:afterAutospacing="1" w:line="480" w:lineRule="auto"/>
              <w:rPr>
                <w:rFonts w:asciiTheme="minorHAnsi" w:hAnsiTheme="minorHAnsi" w:cstheme="minorHAnsi"/>
                <w:sz w:val="24"/>
                <w:szCs w:val="24"/>
              </w:rPr>
            </w:pPr>
            <w:r>
              <w:rPr>
                <w:rFonts w:asciiTheme="minorHAnsi" w:hAnsiTheme="minorHAnsi" w:cstheme="minorHAnsi"/>
                <w:sz w:val="24"/>
                <w:szCs w:val="24"/>
              </w:rPr>
              <w:t xml:space="preserve">Previous stroke, </w:t>
            </w:r>
            <w:r w:rsidRPr="008D51D3">
              <w:rPr>
                <w:rFonts w:asciiTheme="minorHAnsi" w:hAnsiTheme="minorHAnsi" w:cstheme="minorHAnsi"/>
                <w:b w:val="0"/>
                <w:bCs w:val="0"/>
                <w:sz w:val="24"/>
                <w:szCs w:val="24"/>
              </w:rPr>
              <w:t>number of patients (%)</w:t>
            </w:r>
          </w:p>
        </w:tc>
        <w:tc>
          <w:tcPr>
            <w:tcW w:w="2368" w:type="dxa"/>
          </w:tcPr>
          <w:p w14:paraId="6FB5D22C" w14:textId="77777777" w:rsidR="00CB2717" w:rsidRPr="008D51D3" w:rsidRDefault="00CB2717" w:rsidP="00603097">
            <w:pPr>
              <w:spacing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 (8.33%)</w:t>
            </w:r>
          </w:p>
        </w:tc>
      </w:tr>
      <w:tr w:rsidR="00CB2717" w:rsidRPr="008D51D3" w14:paraId="4B2D8048" w14:textId="77777777" w:rsidTr="007E6050">
        <w:trPr>
          <w:trHeight w:val="547"/>
        </w:trPr>
        <w:tc>
          <w:tcPr>
            <w:cnfStyle w:val="001000000000" w:firstRow="0" w:lastRow="0" w:firstColumn="1" w:lastColumn="0" w:oddVBand="0" w:evenVBand="0" w:oddHBand="0" w:evenHBand="0" w:firstRowFirstColumn="0" w:firstRowLastColumn="0" w:lastRowFirstColumn="0" w:lastRowLastColumn="0"/>
            <w:tcW w:w="4673" w:type="dxa"/>
          </w:tcPr>
          <w:p w14:paraId="751BD065" w14:textId="77777777" w:rsidR="00CB2717" w:rsidRPr="008D51D3" w:rsidRDefault="00CB2717" w:rsidP="00603097">
            <w:pPr>
              <w:spacing w:after="100" w:afterAutospacing="1" w:line="480" w:lineRule="auto"/>
              <w:rPr>
                <w:rFonts w:asciiTheme="minorHAnsi" w:hAnsiTheme="minorHAnsi" w:cstheme="minorHAnsi"/>
                <w:sz w:val="24"/>
                <w:szCs w:val="24"/>
              </w:rPr>
            </w:pPr>
            <w:r>
              <w:rPr>
                <w:rFonts w:asciiTheme="minorHAnsi" w:hAnsiTheme="minorHAnsi" w:cstheme="minorHAnsi"/>
                <w:sz w:val="24"/>
                <w:szCs w:val="24"/>
              </w:rPr>
              <w:t xml:space="preserve">AF duration (months), </w:t>
            </w:r>
            <w:r>
              <w:rPr>
                <w:rFonts w:asciiTheme="minorHAnsi" w:hAnsiTheme="minorHAnsi" w:cstheme="minorHAnsi"/>
                <w:b w:val="0"/>
                <w:bCs w:val="0"/>
                <w:sz w:val="24"/>
                <w:szCs w:val="24"/>
              </w:rPr>
              <w:t>median (IQR)</w:t>
            </w:r>
          </w:p>
        </w:tc>
        <w:tc>
          <w:tcPr>
            <w:tcW w:w="2368" w:type="dxa"/>
          </w:tcPr>
          <w:p w14:paraId="4716A7BB" w14:textId="77777777" w:rsidR="00CB2717" w:rsidRPr="008D51D3" w:rsidRDefault="00CB2717" w:rsidP="00603097">
            <w:pPr>
              <w:spacing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18 (12-28) </w:t>
            </w:r>
          </w:p>
        </w:tc>
      </w:tr>
      <w:tr w:rsidR="00CB2717" w:rsidRPr="008D51D3" w14:paraId="3DF1C515" w14:textId="77777777" w:rsidTr="007E605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673" w:type="dxa"/>
          </w:tcPr>
          <w:p w14:paraId="2B9F31B5" w14:textId="77777777" w:rsidR="00CB2717" w:rsidRPr="008D51D3" w:rsidRDefault="00CB2717" w:rsidP="00603097">
            <w:pPr>
              <w:spacing w:after="100" w:afterAutospacing="1" w:line="480" w:lineRule="auto"/>
              <w:rPr>
                <w:rFonts w:asciiTheme="minorHAnsi" w:hAnsiTheme="minorHAnsi" w:cstheme="minorHAnsi"/>
                <w:sz w:val="24"/>
                <w:szCs w:val="24"/>
              </w:rPr>
            </w:pPr>
            <w:r>
              <w:rPr>
                <w:rFonts w:asciiTheme="minorHAnsi" w:hAnsiTheme="minorHAnsi" w:cstheme="minorHAnsi"/>
                <w:sz w:val="24"/>
                <w:szCs w:val="24"/>
              </w:rPr>
              <w:t xml:space="preserve">AADs tried (number), </w:t>
            </w:r>
            <w:r>
              <w:rPr>
                <w:rFonts w:asciiTheme="minorHAnsi" w:hAnsiTheme="minorHAnsi" w:cstheme="minorHAnsi"/>
                <w:b w:val="0"/>
                <w:bCs w:val="0"/>
                <w:sz w:val="24"/>
                <w:szCs w:val="24"/>
              </w:rPr>
              <w:t>median (IQR)</w:t>
            </w:r>
          </w:p>
        </w:tc>
        <w:tc>
          <w:tcPr>
            <w:tcW w:w="2368" w:type="dxa"/>
          </w:tcPr>
          <w:p w14:paraId="1542C7A5" w14:textId="77777777" w:rsidR="00CB2717" w:rsidRPr="008D51D3" w:rsidRDefault="00CB2717" w:rsidP="00603097">
            <w:pPr>
              <w:spacing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 (1-3)</w:t>
            </w:r>
          </w:p>
        </w:tc>
      </w:tr>
      <w:tr w:rsidR="00CB2717" w:rsidRPr="008D51D3" w14:paraId="158B601C" w14:textId="77777777" w:rsidTr="007E6050">
        <w:trPr>
          <w:trHeight w:val="547"/>
        </w:trPr>
        <w:tc>
          <w:tcPr>
            <w:cnfStyle w:val="001000000000" w:firstRow="0" w:lastRow="0" w:firstColumn="1" w:lastColumn="0" w:oddVBand="0" w:evenVBand="0" w:oddHBand="0" w:evenHBand="0" w:firstRowFirstColumn="0" w:firstRowLastColumn="0" w:lastRowFirstColumn="0" w:lastRowLastColumn="0"/>
            <w:tcW w:w="4673" w:type="dxa"/>
          </w:tcPr>
          <w:p w14:paraId="7F227CAF" w14:textId="77777777" w:rsidR="00CB2717" w:rsidRPr="008D51D3" w:rsidRDefault="00CB2717" w:rsidP="00603097">
            <w:pPr>
              <w:spacing w:after="100" w:afterAutospacing="1" w:line="480" w:lineRule="auto"/>
              <w:rPr>
                <w:rFonts w:asciiTheme="minorHAnsi" w:hAnsiTheme="minorHAnsi" w:cstheme="minorHAnsi"/>
                <w:b w:val="0"/>
                <w:sz w:val="24"/>
                <w:szCs w:val="24"/>
              </w:rPr>
            </w:pPr>
            <w:r w:rsidRPr="008D51D3">
              <w:rPr>
                <w:rFonts w:asciiTheme="minorHAnsi" w:hAnsiTheme="minorHAnsi" w:cstheme="minorHAnsi"/>
                <w:bCs w:val="0"/>
                <w:sz w:val="24"/>
                <w:szCs w:val="24"/>
              </w:rPr>
              <w:t>LA volume index (ml/m2)</w:t>
            </w:r>
            <w:r w:rsidRPr="008D51D3">
              <w:rPr>
                <w:rFonts w:asciiTheme="minorHAnsi" w:hAnsiTheme="minorHAnsi" w:cstheme="minorHAnsi"/>
                <w:b w:val="0"/>
                <w:sz w:val="24"/>
                <w:szCs w:val="24"/>
              </w:rPr>
              <w:t xml:space="preserve">, </w:t>
            </w:r>
            <w:r w:rsidRPr="008D51D3">
              <w:rPr>
                <w:rFonts w:asciiTheme="minorHAnsi" w:hAnsiTheme="minorHAnsi" w:cstheme="minorHAnsi"/>
                <w:b w:val="0"/>
                <w:bCs w:val="0"/>
                <w:sz w:val="24"/>
                <w:szCs w:val="24"/>
              </w:rPr>
              <w:t>mean ± SD</w:t>
            </w:r>
          </w:p>
        </w:tc>
        <w:tc>
          <w:tcPr>
            <w:tcW w:w="2368" w:type="dxa"/>
          </w:tcPr>
          <w:p w14:paraId="69163F68" w14:textId="77777777" w:rsidR="00CB2717" w:rsidRPr="008D51D3" w:rsidRDefault="00CB2717" w:rsidP="00603097">
            <w:pPr>
              <w:spacing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D51D3">
              <w:rPr>
                <w:rFonts w:asciiTheme="minorHAnsi" w:hAnsiTheme="minorHAnsi" w:cstheme="minorHAnsi"/>
                <w:sz w:val="24"/>
                <w:szCs w:val="24"/>
              </w:rPr>
              <w:t>28.6 ± 4.6</w:t>
            </w:r>
          </w:p>
        </w:tc>
      </w:tr>
      <w:tr w:rsidR="00CB2717" w:rsidRPr="008D51D3" w14:paraId="79277533" w14:textId="77777777" w:rsidTr="007E605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673" w:type="dxa"/>
          </w:tcPr>
          <w:p w14:paraId="1EF2D828" w14:textId="77777777" w:rsidR="00CB2717" w:rsidRPr="008D51D3" w:rsidRDefault="00CB2717" w:rsidP="00603097">
            <w:pPr>
              <w:spacing w:after="100" w:afterAutospacing="1" w:line="480" w:lineRule="auto"/>
              <w:rPr>
                <w:rFonts w:asciiTheme="minorHAnsi" w:hAnsiTheme="minorHAnsi" w:cstheme="minorHAnsi"/>
                <w:b w:val="0"/>
                <w:sz w:val="24"/>
                <w:szCs w:val="24"/>
              </w:rPr>
            </w:pPr>
            <w:r w:rsidRPr="008D51D3">
              <w:rPr>
                <w:rFonts w:asciiTheme="minorHAnsi" w:hAnsiTheme="minorHAnsi" w:cstheme="minorHAnsi"/>
                <w:bCs w:val="0"/>
                <w:sz w:val="24"/>
                <w:szCs w:val="24"/>
              </w:rPr>
              <w:t>LV systolic function (%)</w:t>
            </w:r>
            <w:r w:rsidRPr="008D51D3">
              <w:rPr>
                <w:rFonts w:asciiTheme="minorHAnsi" w:hAnsiTheme="minorHAnsi" w:cstheme="minorHAnsi"/>
                <w:b w:val="0"/>
                <w:sz w:val="24"/>
                <w:szCs w:val="24"/>
              </w:rPr>
              <w:t xml:space="preserve">, </w:t>
            </w:r>
            <w:r w:rsidRPr="008D51D3">
              <w:rPr>
                <w:rFonts w:asciiTheme="minorHAnsi" w:hAnsiTheme="minorHAnsi" w:cstheme="minorHAnsi"/>
                <w:b w:val="0"/>
                <w:bCs w:val="0"/>
                <w:sz w:val="24"/>
                <w:szCs w:val="24"/>
              </w:rPr>
              <w:t>mean ± SD</w:t>
            </w:r>
          </w:p>
        </w:tc>
        <w:tc>
          <w:tcPr>
            <w:tcW w:w="2368" w:type="dxa"/>
          </w:tcPr>
          <w:p w14:paraId="655B4308" w14:textId="77777777" w:rsidR="00CB2717" w:rsidRPr="008D51D3" w:rsidRDefault="00CB2717" w:rsidP="00603097">
            <w:pPr>
              <w:spacing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D51D3">
              <w:rPr>
                <w:rFonts w:asciiTheme="minorHAnsi" w:hAnsiTheme="minorHAnsi" w:cstheme="minorHAnsi"/>
                <w:sz w:val="24"/>
                <w:szCs w:val="24"/>
              </w:rPr>
              <w:t>57.1 ± 6.6</w:t>
            </w:r>
          </w:p>
        </w:tc>
      </w:tr>
      <w:tr w:rsidR="00CB2717" w:rsidRPr="008D51D3" w14:paraId="24C44586" w14:textId="77777777" w:rsidTr="007E6050">
        <w:trPr>
          <w:trHeight w:val="636"/>
        </w:trPr>
        <w:tc>
          <w:tcPr>
            <w:cnfStyle w:val="001000000000" w:firstRow="0" w:lastRow="0" w:firstColumn="1" w:lastColumn="0" w:oddVBand="0" w:evenVBand="0" w:oddHBand="0" w:evenHBand="0" w:firstRowFirstColumn="0" w:firstRowLastColumn="0" w:lastRowFirstColumn="0" w:lastRowLastColumn="0"/>
            <w:tcW w:w="4673" w:type="dxa"/>
          </w:tcPr>
          <w:p w14:paraId="79C829EC" w14:textId="77777777" w:rsidR="00CB2717" w:rsidRPr="008D51D3" w:rsidRDefault="00CB2717" w:rsidP="00603097">
            <w:pPr>
              <w:spacing w:after="100" w:afterAutospacing="1" w:line="480" w:lineRule="auto"/>
              <w:rPr>
                <w:rFonts w:asciiTheme="minorHAnsi" w:hAnsiTheme="minorHAnsi" w:cstheme="minorHAnsi"/>
                <w:sz w:val="24"/>
                <w:szCs w:val="24"/>
              </w:rPr>
            </w:pPr>
            <w:r>
              <w:rPr>
                <w:rFonts w:asciiTheme="minorHAnsi" w:hAnsiTheme="minorHAnsi" w:cstheme="minorHAnsi"/>
                <w:sz w:val="24"/>
                <w:szCs w:val="24"/>
              </w:rPr>
              <w:t>CHA</w:t>
            </w:r>
            <w:r w:rsidRPr="007E16E2">
              <w:rPr>
                <w:rFonts w:asciiTheme="minorHAnsi" w:hAnsiTheme="minorHAnsi" w:cstheme="minorHAnsi"/>
                <w:sz w:val="24"/>
                <w:szCs w:val="24"/>
                <w:vertAlign w:val="subscript"/>
              </w:rPr>
              <w:t>2</w:t>
            </w:r>
            <w:r>
              <w:rPr>
                <w:rFonts w:asciiTheme="minorHAnsi" w:hAnsiTheme="minorHAnsi" w:cstheme="minorHAnsi"/>
                <w:sz w:val="24"/>
                <w:szCs w:val="24"/>
              </w:rPr>
              <w:t>DS</w:t>
            </w:r>
            <w:r w:rsidRPr="007E16E2">
              <w:rPr>
                <w:rFonts w:asciiTheme="minorHAnsi" w:hAnsiTheme="minorHAnsi" w:cstheme="minorHAnsi"/>
                <w:sz w:val="24"/>
                <w:szCs w:val="24"/>
                <w:vertAlign w:val="subscript"/>
              </w:rPr>
              <w:t>2</w:t>
            </w:r>
            <w:r>
              <w:rPr>
                <w:rFonts w:asciiTheme="minorHAnsi" w:hAnsiTheme="minorHAnsi" w:cstheme="minorHAnsi"/>
                <w:sz w:val="24"/>
                <w:szCs w:val="24"/>
              </w:rPr>
              <w:t xml:space="preserve">-Vasc score, </w:t>
            </w:r>
            <w:r w:rsidRPr="007E16E2">
              <w:rPr>
                <w:rFonts w:asciiTheme="minorHAnsi" w:hAnsiTheme="minorHAnsi" w:cstheme="minorHAnsi"/>
                <w:b w:val="0"/>
                <w:bCs w:val="0"/>
                <w:sz w:val="24"/>
                <w:szCs w:val="24"/>
              </w:rPr>
              <w:t>median (IQR)</w:t>
            </w:r>
          </w:p>
        </w:tc>
        <w:tc>
          <w:tcPr>
            <w:tcW w:w="2368" w:type="dxa"/>
          </w:tcPr>
          <w:p w14:paraId="0EFD4171" w14:textId="77777777" w:rsidR="00CB2717" w:rsidRPr="008D51D3" w:rsidRDefault="00CB2717" w:rsidP="00603097">
            <w:pPr>
              <w:spacing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 (0-3)</w:t>
            </w:r>
          </w:p>
        </w:tc>
      </w:tr>
    </w:tbl>
    <w:p w14:paraId="18ABE55F" w14:textId="77777777" w:rsidR="00CB2717" w:rsidRPr="008D51D3" w:rsidRDefault="00CB2717" w:rsidP="00603097">
      <w:pPr>
        <w:spacing w:line="480" w:lineRule="auto"/>
        <w:rPr>
          <w:rFonts w:asciiTheme="minorHAnsi" w:hAnsiTheme="minorHAnsi" w:cstheme="minorHAnsi"/>
          <w:b/>
          <w:bCs/>
          <w:sz w:val="24"/>
          <w:szCs w:val="24"/>
          <w:shd w:val="clear" w:color="auto" w:fill="FFFFFF"/>
        </w:rPr>
      </w:pPr>
    </w:p>
    <w:p w14:paraId="158B3020" w14:textId="77777777" w:rsidR="00CB2717" w:rsidRPr="008D51D3" w:rsidRDefault="00CB2717" w:rsidP="00603097">
      <w:pPr>
        <w:spacing w:line="480" w:lineRule="auto"/>
        <w:rPr>
          <w:rFonts w:asciiTheme="minorHAnsi" w:hAnsiTheme="minorHAnsi" w:cstheme="minorHAnsi"/>
          <w:sz w:val="24"/>
          <w:szCs w:val="24"/>
          <w:shd w:val="clear" w:color="auto" w:fill="FFFFFF"/>
        </w:rPr>
      </w:pPr>
      <w:r w:rsidRPr="008D51D3">
        <w:rPr>
          <w:rFonts w:asciiTheme="minorHAnsi" w:hAnsiTheme="minorHAnsi" w:cstheme="minorHAnsi"/>
          <w:b/>
          <w:bCs/>
          <w:sz w:val="24"/>
          <w:szCs w:val="24"/>
          <w:shd w:val="clear" w:color="auto" w:fill="FFFFFF"/>
        </w:rPr>
        <w:t>Legend:</w:t>
      </w:r>
      <w:r>
        <w:rPr>
          <w:rFonts w:asciiTheme="minorHAnsi" w:hAnsiTheme="minorHAnsi" w:cstheme="minorHAnsi"/>
          <w:b/>
          <w:bCs/>
          <w:sz w:val="24"/>
          <w:szCs w:val="24"/>
          <w:shd w:val="clear" w:color="auto" w:fill="FFFFFF"/>
        </w:rPr>
        <w:t xml:space="preserve"> </w:t>
      </w:r>
      <w:r w:rsidRPr="00BD1649">
        <w:rPr>
          <w:rFonts w:asciiTheme="minorHAnsi" w:hAnsiTheme="minorHAnsi" w:cstheme="minorHAnsi"/>
          <w:sz w:val="24"/>
          <w:szCs w:val="24"/>
          <w:shd w:val="clear" w:color="auto" w:fill="FFFFFF"/>
        </w:rPr>
        <w:t xml:space="preserve">AADs= Antiarrhythmic drugs; </w:t>
      </w:r>
      <w:r>
        <w:rPr>
          <w:rFonts w:asciiTheme="minorHAnsi" w:hAnsiTheme="minorHAnsi" w:cstheme="minorHAnsi"/>
          <w:sz w:val="24"/>
          <w:szCs w:val="24"/>
          <w:shd w:val="clear" w:color="auto" w:fill="FFFFFF"/>
        </w:rPr>
        <w:t xml:space="preserve">AF= atrial fibrillation; </w:t>
      </w:r>
      <w:r w:rsidRPr="00BD1649">
        <w:rPr>
          <w:rFonts w:asciiTheme="minorHAnsi" w:hAnsiTheme="minorHAnsi" w:cstheme="minorHAnsi"/>
          <w:sz w:val="24"/>
          <w:szCs w:val="24"/>
          <w:shd w:val="clear" w:color="auto" w:fill="FFFFFF"/>
        </w:rPr>
        <w:t>IQR</w:t>
      </w:r>
      <w:r>
        <w:rPr>
          <w:rFonts w:asciiTheme="minorHAnsi" w:hAnsiTheme="minorHAnsi" w:cstheme="minorHAnsi"/>
          <w:sz w:val="24"/>
          <w:szCs w:val="24"/>
          <w:shd w:val="clear" w:color="auto" w:fill="FFFFFF"/>
        </w:rPr>
        <w:t xml:space="preserve">= Interquartile range; </w:t>
      </w:r>
      <w:r w:rsidRPr="008D51D3">
        <w:rPr>
          <w:rFonts w:asciiTheme="minorHAnsi" w:hAnsiTheme="minorHAnsi" w:cstheme="minorHAnsi"/>
          <w:sz w:val="24"/>
          <w:szCs w:val="24"/>
          <w:shd w:val="clear" w:color="auto" w:fill="FFFFFF"/>
        </w:rPr>
        <w:t xml:space="preserve">LA= left atrial; LV= left ventricular; SD= standard deviation. </w:t>
      </w:r>
    </w:p>
    <w:p w14:paraId="5A6DCCB0" w14:textId="77777777" w:rsidR="00CB2717" w:rsidRDefault="00CB2717" w:rsidP="00603097">
      <w:pPr>
        <w:spacing w:line="480" w:lineRule="auto"/>
        <w:jc w:val="both"/>
        <w:rPr>
          <w:rFonts w:cstheme="minorHAnsi"/>
          <w:b/>
          <w:bCs/>
          <w:sz w:val="24"/>
          <w:szCs w:val="24"/>
        </w:rPr>
      </w:pPr>
    </w:p>
    <w:p w14:paraId="238853A3" w14:textId="77777777" w:rsidR="00CB2717" w:rsidRDefault="00CB2717" w:rsidP="00603097">
      <w:pPr>
        <w:spacing w:after="160" w:line="480" w:lineRule="auto"/>
        <w:rPr>
          <w:rFonts w:cstheme="minorHAnsi"/>
          <w:b/>
          <w:bCs/>
          <w:sz w:val="24"/>
          <w:szCs w:val="24"/>
        </w:rPr>
      </w:pPr>
      <w:r>
        <w:rPr>
          <w:rFonts w:cstheme="minorHAnsi"/>
          <w:b/>
          <w:bCs/>
          <w:sz w:val="24"/>
          <w:szCs w:val="24"/>
        </w:rPr>
        <w:br w:type="page"/>
      </w:r>
    </w:p>
    <w:p w14:paraId="12D7D742" w14:textId="70D481E6" w:rsidR="00B63A12" w:rsidRDefault="00B63A12" w:rsidP="00603097">
      <w:pPr>
        <w:spacing w:line="480" w:lineRule="auto"/>
        <w:jc w:val="both"/>
        <w:rPr>
          <w:rFonts w:cstheme="minorHAnsi"/>
          <w:b/>
          <w:bCs/>
          <w:sz w:val="24"/>
          <w:szCs w:val="24"/>
        </w:rPr>
      </w:pPr>
      <w:r>
        <w:rPr>
          <w:rFonts w:cstheme="minorHAnsi"/>
          <w:b/>
          <w:bCs/>
          <w:sz w:val="24"/>
          <w:szCs w:val="24"/>
        </w:rPr>
        <w:lastRenderedPageBreak/>
        <w:t>Performance of ICE/IVUS for PV imaging: inter-observer reproducibility of measurements</w:t>
      </w:r>
    </w:p>
    <w:p w14:paraId="7D69BCB7" w14:textId="722C7ECD" w:rsidR="00B63A12" w:rsidRDefault="00B63A12" w:rsidP="00603097">
      <w:pPr>
        <w:spacing w:line="480" w:lineRule="auto"/>
        <w:jc w:val="both"/>
        <w:rPr>
          <w:rFonts w:asciiTheme="minorHAnsi" w:hAnsiTheme="minorHAnsi" w:cstheme="minorHAnsi"/>
          <w:sz w:val="24"/>
          <w:szCs w:val="24"/>
          <w:shd w:val="clear" w:color="auto" w:fill="FFFFFF"/>
          <w:lang w:val="en-GB"/>
        </w:rPr>
      </w:pPr>
      <w:r>
        <w:rPr>
          <w:rFonts w:asciiTheme="minorHAnsi" w:hAnsiTheme="minorHAnsi" w:cstheme="minorHAnsi"/>
          <w:sz w:val="24"/>
          <w:szCs w:val="24"/>
          <w:shd w:val="clear" w:color="auto" w:fill="FFFFFF"/>
          <w:lang w:val="en-GB"/>
        </w:rPr>
        <w:t xml:space="preserve">Compared to IVUS, ICE performed better in terms of inter-observer reproducibility, as showed in Table </w:t>
      </w:r>
      <w:r w:rsidR="00CB2717">
        <w:rPr>
          <w:rFonts w:asciiTheme="minorHAnsi" w:hAnsiTheme="minorHAnsi" w:cstheme="minorHAnsi"/>
          <w:sz w:val="24"/>
          <w:szCs w:val="24"/>
          <w:shd w:val="clear" w:color="auto" w:fill="FFFFFF"/>
          <w:lang w:val="en-GB"/>
        </w:rPr>
        <w:t>B</w:t>
      </w:r>
      <w:r>
        <w:rPr>
          <w:rFonts w:asciiTheme="minorHAnsi" w:hAnsiTheme="minorHAnsi" w:cstheme="minorHAnsi"/>
          <w:sz w:val="24"/>
          <w:szCs w:val="24"/>
          <w:shd w:val="clear" w:color="auto" w:fill="FFFFFF"/>
          <w:lang w:val="en-GB"/>
        </w:rPr>
        <w:t xml:space="preserve">. </w:t>
      </w:r>
    </w:p>
    <w:p w14:paraId="42CBF90C" w14:textId="77777777" w:rsidR="00B63A12" w:rsidRDefault="00B63A12" w:rsidP="00603097">
      <w:pPr>
        <w:spacing w:line="480" w:lineRule="auto"/>
        <w:jc w:val="both"/>
        <w:rPr>
          <w:rFonts w:cstheme="minorHAnsi"/>
          <w:b/>
          <w:bCs/>
          <w:sz w:val="24"/>
          <w:szCs w:val="24"/>
        </w:rPr>
      </w:pPr>
    </w:p>
    <w:p w14:paraId="261E2384" w14:textId="74484775" w:rsidR="00B63A12" w:rsidRPr="004F0495" w:rsidRDefault="00B63A12" w:rsidP="00603097">
      <w:pPr>
        <w:pStyle w:val="Caption"/>
        <w:keepNext/>
        <w:spacing w:line="480" w:lineRule="auto"/>
        <w:rPr>
          <w:b/>
          <w:bCs/>
          <w:sz w:val="24"/>
          <w:szCs w:val="24"/>
        </w:rPr>
      </w:pPr>
      <w:r w:rsidRPr="004F0495">
        <w:rPr>
          <w:b/>
          <w:bCs/>
          <w:i w:val="0"/>
          <w:iCs w:val="0"/>
          <w:color w:val="auto"/>
          <w:sz w:val="24"/>
          <w:szCs w:val="24"/>
        </w:rPr>
        <w:t xml:space="preserve">Table </w:t>
      </w:r>
      <w:r w:rsidR="00CB2717">
        <w:rPr>
          <w:b/>
          <w:bCs/>
          <w:i w:val="0"/>
          <w:iCs w:val="0"/>
          <w:color w:val="auto"/>
          <w:sz w:val="24"/>
          <w:szCs w:val="24"/>
        </w:rPr>
        <w:t>B</w:t>
      </w:r>
      <w:r w:rsidRPr="004F0495">
        <w:rPr>
          <w:b/>
          <w:bCs/>
          <w:i w:val="0"/>
          <w:iCs w:val="0"/>
          <w:color w:val="auto"/>
          <w:sz w:val="24"/>
          <w:szCs w:val="24"/>
        </w:rPr>
        <w:t>. Intraclass Correlation (ICC) values of ICE and IVUS measurements.</w:t>
      </w:r>
    </w:p>
    <w:tbl>
      <w:tblPr>
        <w:tblStyle w:val="TableGrid"/>
        <w:tblW w:w="0" w:type="auto"/>
        <w:tblLook w:val="04A0" w:firstRow="1" w:lastRow="0" w:firstColumn="1" w:lastColumn="0" w:noHBand="0" w:noVBand="1"/>
      </w:tblPr>
      <w:tblGrid>
        <w:gridCol w:w="3397"/>
        <w:gridCol w:w="2613"/>
        <w:gridCol w:w="3006"/>
      </w:tblGrid>
      <w:tr w:rsidR="00B63A12" w:rsidRPr="00AF749D" w14:paraId="03776A4C" w14:textId="77777777" w:rsidTr="006820C4">
        <w:tc>
          <w:tcPr>
            <w:tcW w:w="3397" w:type="dxa"/>
          </w:tcPr>
          <w:p w14:paraId="6D4556D7" w14:textId="77777777" w:rsidR="00B63A12" w:rsidRPr="004F0495" w:rsidRDefault="00B63A12" w:rsidP="00603097">
            <w:pPr>
              <w:spacing w:after="160" w:line="480" w:lineRule="auto"/>
              <w:rPr>
                <w:b/>
                <w:bCs/>
                <w:i/>
                <w:iCs/>
                <w:lang w:val="en-GB"/>
              </w:rPr>
            </w:pPr>
          </w:p>
        </w:tc>
        <w:tc>
          <w:tcPr>
            <w:tcW w:w="2613" w:type="dxa"/>
          </w:tcPr>
          <w:p w14:paraId="182178C8" w14:textId="77777777" w:rsidR="00B63A12" w:rsidRPr="004F0495" w:rsidRDefault="00B63A12" w:rsidP="00603097">
            <w:pPr>
              <w:spacing w:after="160" w:line="480" w:lineRule="auto"/>
              <w:jc w:val="center"/>
              <w:rPr>
                <w:b/>
                <w:bCs/>
                <w:lang w:val="en-GB"/>
              </w:rPr>
            </w:pPr>
            <w:r w:rsidRPr="004F0495">
              <w:rPr>
                <w:b/>
                <w:bCs/>
                <w:lang w:val="en-GB"/>
              </w:rPr>
              <w:t>ICE</w:t>
            </w:r>
          </w:p>
        </w:tc>
        <w:tc>
          <w:tcPr>
            <w:tcW w:w="3006" w:type="dxa"/>
          </w:tcPr>
          <w:p w14:paraId="5723621A" w14:textId="77777777" w:rsidR="00B63A12" w:rsidRPr="004F0495" w:rsidRDefault="00B63A12" w:rsidP="00603097">
            <w:pPr>
              <w:spacing w:after="160" w:line="480" w:lineRule="auto"/>
              <w:jc w:val="center"/>
              <w:rPr>
                <w:b/>
                <w:bCs/>
                <w:lang w:val="en-GB"/>
              </w:rPr>
            </w:pPr>
            <w:r w:rsidRPr="004F0495">
              <w:rPr>
                <w:b/>
                <w:bCs/>
                <w:lang w:val="en-GB"/>
              </w:rPr>
              <w:t>IVUS</w:t>
            </w:r>
          </w:p>
        </w:tc>
      </w:tr>
      <w:tr w:rsidR="00B63A12" w:rsidRPr="00AF749D" w14:paraId="1B9FDD7B" w14:textId="77777777" w:rsidTr="006820C4">
        <w:tc>
          <w:tcPr>
            <w:tcW w:w="3397" w:type="dxa"/>
          </w:tcPr>
          <w:p w14:paraId="173599D6" w14:textId="77777777" w:rsidR="00B63A12" w:rsidRPr="004F0495" w:rsidRDefault="00B63A12" w:rsidP="00603097">
            <w:pPr>
              <w:spacing w:after="160" w:line="480" w:lineRule="auto"/>
              <w:rPr>
                <w:b/>
                <w:bCs/>
                <w:lang w:val="en-GB"/>
              </w:rPr>
            </w:pPr>
            <w:r>
              <w:rPr>
                <w:b/>
                <w:bCs/>
                <w:lang w:val="en-GB"/>
              </w:rPr>
              <w:t>Maximum l</w:t>
            </w:r>
            <w:r w:rsidRPr="004F0495">
              <w:rPr>
                <w:b/>
                <w:bCs/>
                <w:lang w:val="en-GB"/>
              </w:rPr>
              <w:t>umen diameter</w:t>
            </w:r>
          </w:p>
        </w:tc>
        <w:tc>
          <w:tcPr>
            <w:tcW w:w="2613" w:type="dxa"/>
          </w:tcPr>
          <w:p w14:paraId="7E5B715E" w14:textId="77777777" w:rsidR="00B63A12" w:rsidRDefault="00B63A12" w:rsidP="00603097">
            <w:pPr>
              <w:spacing w:after="160" w:line="480" w:lineRule="auto"/>
              <w:jc w:val="center"/>
              <w:rPr>
                <w:color w:val="000000"/>
                <w:shd w:val="clear" w:color="auto" w:fill="FFFFFF"/>
              </w:rPr>
            </w:pPr>
            <w:r w:rsidRPr="00AF749D">
              <w:rPr>
                <w:color w:val="000000"/>
                <w:shd w:val="clear" w:color="auto" w:fill="FFFFFF"/>
              </w:rPr>
              <w:t xml:space="preserve">0.98 </w:t>
            </w:r>
          </w:p>
          <w:p w14:paraId="1519200F" w14:textId="77777777" w:rsidR="00B63A12" w:rsidRPr="004F0495" w:rsidRDefault="00B63A12" w:rsidP="00603097">
            <w:pPr>
              <w:spacing w:after="160" w:line="480" w:lineRule="auto"/>
              <w:jc w:val="center"/>
              <w:rPr>
                <w:lang w:val="en-GB"/>
              </w:rPr>
            </w:pPr>
            <w:r w:rsidRPr="00AF749D">
              <w:rPr>
                <w:color w:val="000000"/>
                <w:shd w:val="clear" w:color="auto" w:fill="FFFFFF"/>
              </w:rPr>
              <w:t>(95% CI: 0.97–0.99)</w:t>
            </w:r>
          </w:p>
        </w:tc>
        <w:tc>
          <w:tcPr>
            <w:tcW w:w="3006" w:type="dxa"/>
          </w:tcPr>
          <w:p w14:paraId="7FEF8B21" w14:textId="77777777" w:rsidR="00B63A12" w:rsidRDefault="00B63A12" w:rsidP="00603097">
            <w:pPr>
              <w:spacing w:after="160" w:line="480" w:lineRule="auto"/>
              <w:jc w:val="center"/>
              <w:rPr>
                <w:lang w:val="en-GB"/>
              </w:rPr>
            </w:pPr>
            <w:r w:rsidRPr="004F0495">
              <w:rPr>
                <w:lang w:val="en-GB"/>
              </w:rPr>
              <w:t xml:space="preserve">0.95 </w:t>
            </w:r>
          </w:p>
          <w:p w14:paraId="23B96D39" w14:textId="77777777" w:rsidR="00B63A12" w:rsidRPr="004F0495" w:rsidRDefault="00B63A12" w:rsidP="00603097">
            <w:pPr>
              <w:spacing w:after="160" w:line="480" w:lineRule="auto"/>
              <w:jc w:val="center"/>
              <w:rPr>
                <w:lang w:val="en-GB"/>
              </w:rPr>
            </w:pPr>
            <w:r w:rsidRPr="004F0495">
              <w:rPr>
                <w:lang w:val="en-GB"/>
              </w:rPr>
              <w:t>(95% CI: 0.90-0.98)</w:t>
            </w:r>
          </w:p>
        </w:tc>
      </w:tr>
      <w:tr w:rsidR="00B63A12" w:rsidRPr="00AF749D" w14:paraId="5F7F48CF" w14:textId="77777777" w:rsidTr="006820C4">
        <w:tc>
          <w:tcPr>
            <w:tcW w:w="3397" w:type="dxa"/>
          </w:tcPr>
          <w:p w14:paraId="5F006CE2" w14:textId="77777777" w:rsidR="00B63A12" w:rsidRPr="004F0495" w:rsidRDefault="00B63A12" w:rsidP="00603097">
            <w:pPr>
              <w:spacing w:after="160" w:line="480" w:lineRule="auto"/>
              <w:rPr>
                <w:b/>
                <w:bCs/>
                <w:lang w:val="en-GB"/>
              </w:rPr>
            </w:pPr>
            <w:r>
              <w:rPr>
                <w:b/>
                <w:bCs/>
                <w:lang w:val="en-GB"/>
              </w:rPr>
              <w:t>Minimum</w:t>
            </w:r>
            <w:r w:rsidRPr="004F0495">
              <w:rPr>
                <w:b/>
                <w:bCs/>
                <w:lang w:val="en-GB"/>
              </w:rPr>
              <w:t xml:space="preserve"> </w:t>
            </w:r>
            <w:r>
              <w:rPr>
                <w:b/>
                <w:bCs/>
                <w:lang w:val="en-GB"/>
              </w:rPr>
              <w:t xml:space="preserve">lumen </w:t>
            </w:r>
            <w:r w:rsidRPr="004F0495">
              <w:rPr>
                <w:b/>
                <w:bCs/>
                <w:lang w:val="en-GB"/>
              </w:rPr>
              <w:t>diameter</w:t>
            </w:r>
          </w:p>
        </w:tc>
        <w:tc>
          <w:tcPr>
            <w:tcW w:w="2613" w:type="dxa"/>
          </w:tcPr>
          <w:p w14:paraId="2E5DF298" w14:textId="77777777" w:rsidR="00B63A12" w:rsidRDefault="00B63A12" w:rsidP="00603097">
            <w:pPr>
              <w:spacing w:after="160" w:line="480" w:lineRule="auto"/>
              <w:jc w:val="center"/>
              <w:rPr>
                <w:color w:val="000000"/>
                <w:shd w:val="clear" w:color="auto" w:fill="FFFFFF"/>
              </w:rPr>
            </w:pPr>
            <w:r w:rsidRPr="00AF749D">
              <w:rPr>
                <w:color w:val="000000"/>
                <w:shd w:val="clear" w:color="auto" w:fill="FFFFFF"/>
              </w:rPr>
              <w:t xml:space="preserve">0.96 </w:t>
            </w:r>
          </w:p>
          <w:p w14:paraId="6530788C" w14:textId="77777777" w:rsidR="00B63A12" w:rsidRPr="004F0495" w:rsidRDefault="00B63A12" w:rsidP="00603097">
            <w:pPr>
              <w:spacing w:after="160" w:line="480" w:lineRule="auto"/>
              <w:jc w:val="center"/>
              <w:rPr>
                <w:lang w:val="en-GB"/>
              </w:rPr>
            </w:pPr>
            <w:r w:rsidRPr="00AF749D">
              <w:rPr>
                <w:color w:val="000000"/>
                <w:shd w:val="clear" w:color="auto" w:fill="FFFFFF"/>
              </w:rPr>
              <w:t>(95% CI: 0.91–0.98)</w:t>
            </w:r>
          </w:p>
        </w:tc>
        <w:tc>
          <w:tcPr>
            <w:tcW w:w="3006" w:type="dxa"/>
          </w:tcPr>
          <w:p w14:paraId="0F8D9011" w14:textId="77777777" w:rsidR="00B63A12" w:rsidRDefault="00B63A12" w:rsidP="00603097">
            <w:pPr>
              <w:spacing w:after="160" w:line="480" w:lineRule="auto"/>
              <w:jc w:val="center"/>
              <w:rPr>
                <w:lang w:val="en-GB"/>
              </w:rPr>
            </w:pPr>
            <w:r w:rsidRPr="004F0495">
              <w:rPr>
                <w:lang w:val="en-GB"/>
              </w:rPr>
              <w:t xml:space="preserve">0.94 </w:t>
            </w:r>
          </w:p>
          <w:p w14:paraId="44DCA3A8" w14:textId="77777777" w:rsidR="00B63A12" w:rsidRPr="004F0495" w:rsidRDefault="00B63A12" w:rsidP="00603097">
            <w:pPr>
              <w:spacing w:after="160" w:line="480" w:lineRule="auto"/>
              <w:jc w:val="center"/>
              <w:rPr>
                <w:lang w:val="en-GB"/>
              </w:rPr>
            </w:pPr>
            <w:r w:rsidRPr="004F0495">
              <w:rPr>
                <w:lang w:val="en-GB"/>
              </w:rPr>
              <w:t>(95% CI: 0.92-0.96)</w:t>
            </w:r>
          </w:p>
        </w:tc>
      </w:tr>
      <w:tr w:rsidR="00B63A12" w:rsidRPr="00AF749D" w14:paraId="6C38B971" w14:textId="77777777" w:rsidTr="006820C4">
        <w:tc>
          <w:tcPr>
            <w:tcW w:w="3397" w:type="dxa"/>
          </w:tcPr>
          <w:p w14:paraId="311912CE" w14:textId="77777777" w:rsidR="00B63A12" w:rsidRPr="004F0495" w:rsidRDefault="00B63A12" w:rsidP="00603097">
            <w:pPr>
              <w:spacing w:after="160" w:line="480" w:lineRule="auto"/>
              <w:rPr>
                <w:b/>
                <w:bCs/>
                <w:lang w:val="en-GB"/>
              </w:rPr>
            </w:pPr>
            <w:r w:rsidRPr="004F0495">
              <w:rPr>
                <w:b/>
                <w:bCs/>
                <w:lang w:val="en-GB"/>
              </w:rPr>
              <w:t>Lumen area</w:t>
            </w:r>
          </w:p>
        </w:tc>
        <w:tc>
          <w:tcPr>
            <w:tcW w:w="2613" w:type="dxa"/>
          </w:tcPr>
          <w:p w14:paraId="29F32801" w14:textId="77777777" w:rsidR="00B63A12" w:rsidRDefault="00B63A12" w:rsidP="00603097">
            <w:pPr>
              <w:spacing w:after="160" w:line="480" w:lineRule="auto"/>
              <w:jc w:val="center"/>
              <w:rPr>
                <w:lang w:val="en-GB"/>
              </w:rPr>
            </w:pPr>
            <w:r w:rsidRPr="004F0495">
              <w:rPr>
                <w:lang w:val="en-GB"/>
              </w:rPr>
              <w:t xml:space="preserve">0.98 </w:t>
            </w:r>
          </w:p>
          <w:p w14:paraId="7052668F" w14:textId="77777777" w:rsidR="00B63A12" w:rsidRPr="004F0495" w:rsidRDefault="00B63A12" w:rsidP="00603097">
            <w:pPr>
              <w:spacing w:after="160" w:line="480" w:lineRule="auto"/>
              <w:jc w:val="center"/>
              <w:rPr>
                <w:lang w:val="en-GB"/>
              </w:rPr>
            </w:pPr>
            <w:r w:rsidRPr="004F0495">
              <w:rPr>
                <w:lang w:val="en-GB"/>
              </w:rPr>
              <w:t>(</w:t>
            </w:r>
            <w:r w:rsidRPr="00AF749D">
              <w:rPr>
                <w:color w:val="000000"/>
                <w:shd w:val="clear" w:color="auto" w:fill="FFFFFF"/>
              </w:rPr>
              <w:t>95% CI: 0.97–0.99)</w:t>
            </w:r>
          </w:p>
        </w:tc>
        <w:tc>
          <w:tcPr>
            <w:tcW w:w="3006" w:type="dxa"/>
          </w:tcPr>
          <w:p w14:paraId="24355EA2" w14:textId="77777777" w:rsidR="00B63A12" w:rsidRDefault="00B63A12" w:rsidP="00603097">
            <w:pPr>
              <w:spacing w:after="160" w:line="480" w:lineRule="auto"/>
              <w:jc w:val="center"/>
              <w:rPr>
                <w:lang w:val="en-GB"/>
              </w:rPr>
            </w:pPr>
            <w:r w:rsidRPr="004F0495">
              <w:rPr>
                <w:lang w:val="en-GB"/>
              </w:rPr>
              <w:t xml:space="preserve">0.95 </w:t>
            </w:r>
          </w:p>
          <w:p w14:paraId="2E7C28DF" w14:textId="77777777" w:rsidR="00B63A12" w:rsidRPr="004F0495" w:rsidRDefault="00B63A12" w:rsidP="00603097">
            <w:pPr>
              <w:spacing w:after="160" w:line="480" w:lineRule="auto"/>
              <w:jc w:val="center"/>
              <w:rPr>
                <w:lang w:val="en-GB"/>
              </w:rPr>
            </w:pPr>
            <w:r w:rsidRPr="004F0495">
              <w:rPr>
                <w:lang w:val="en-GB"/>
              </w:rPr>
              <w:t>(95% CI: 0.91-0.97)</w:t>
            </w:r>
          </w:p>
        </w:tc>
      </w:tr>
      <w:tr w:rsidR="00B63A12" w:rsidRPr="00AF749D" w14:paraId="09B498E7" w14:textId="77777777" w:rsidTr="006820C4">
        <w:tc>
          <w:tcPr>
            <w:tcW w:w="3397" w:type="dxa"/>
          </w:tcPr>
          <w:p w14:paraId="572F1A5D" w14:textId="77777777" w:rsidR="00B63A12" w:rsidRPr="004F0495" w:rsidRDefault="00B63A12" w:rsidP="00603097">
            <w:pPr>
              <w:spacing w:after="160" w:line="480" w:lineRule="auto"/>
              <w:rPr>
                <w:b/>
                <w:bCs/>
                <w:lang w:val="en-GB"/>
              </w:rPr>
            </w:pPr>
            <w:r>
              <w:rPr>
                <w:b/>
                <w:bCs/>
                <w:lang w:val="en-GB"/>
              </w:rPr>
              <w:t>Maximum v</w:t>
            </w:r>
            <w:r w:rsidRPr="004F0495">
              <w:rPr>
                <w:b/>
                <w:bCs/>
                <w:lang w:val="en-GB"/>
              </w:rPr>
              <w:t>essel diameter</w:t>
            </w:r>
          </w:p>
        </w:tc>
        <w:tc>
          <w:tcPr>
            <w:tcW w:w="2613" w:type="dxa"/>
          </w:tcPr>
          <w:p w14:paraId="4513346E" w14:textId="77777777" w:rsidR="00B63A12" w:rsidRDefault="00B63A12" w:rsidP="00603097">
            <w:pPr>
              <w:spacing w:after="160" w:line="480" w:lineRule="auto"/>
              <w:jc w:val="center"/>
              <w:rPr>
                <w:lang w:val="en-GB"/>
              </w:rPr>
            </w:pPr>
            <w:r w:rsidRPr="004F0495">
              <w:rPr>
                <w:lang w:val="en-GB"/>
              </w:rPr>
              <w:t xml:space="preserve">0.93 </w:t>
            </w:r>
          </w:p>
          <w:p w14:paraId="0CCF4737" w14:textId="77777777" w:rsidR="00B63A12" w:rsidRPr="004F0495" w:rsidRDefault="00B63A12" w:rsidP="00603097">
            <w:pPr>
              <w:spacing w:after="160" w:line="480" w:lineRule="auto"/>
              <w:jc w:val="center"/>
              <w:rPr>
                <w:lang w:val="en-GB"/>
              </w:rPr>
            </w:pPr>
            <w:r w:rsidRPr="004F0495">
              <w:rPr>
                <w:lang w:val="en-GB"/>
              </w:rPr>
              <w:t>(95% CI: 0.88-0.95)</w:t>
            </w:r>
          </w:p>
        </w:tc>
        <w:tc>
          <w:tcPr>
            <w:tcW w:w="3006" w:type="dxa"/>
          </w:tcPr>
          <w:p w14:paraId="06EBC800" w14:textId="77777777" w:rsidR="00B63A12" w:rsidRDefault="00B63A12" w:rsidP="00603097">
            <w:pPr>
              <w:spacing w:after="160" w:line="480" w:lineRule="auto"/>
              <w:jc w:val="center"/>
              <w:rPr>
                <w:lang w:val="en-GB"/>
              </w:rPr>
            </w:pPr>
            <w:r w:rsidRPr="004F0495">
              <w:rPr>
                <w:lang w:val="en-GB"/>
              </w:rPr>
              <w:t xml:space="preserve">0.72 </w:t>
            </w:r>
          </w:p>
          <w:p w14:paraId="1E645243" w14:textId="77777777" w:rsidR="00B63A12" w:rsidRPr="004F0495" w:rsidRDefault="00B63A12" w:rsidP="00603097">
            <w:pPr>
              <w:spacing w:after="160" w:line="480" w:lineRule="auto"/>
              <w:jc w:val="center"/>
              <w:rPr>
                <w:lang w:val="en-GB"/>
              </w:rPr>
            </w:pPr>
            <w:r w:rsidRPr="004F0495">
              <w:rPr>
                <w:lang w:val="en-GB"/>
              </w:rPr>
              <w:t>(95% CI: 0.60-0.93)</w:t>
            </w:r>
          </w:p>
        </w:tc>
      </w:tr>
      <w:tr w:rsidR="00B63A12" w:rsidRPr="00AF749D" w14:paraId="0A2A8F14" w14:textId="77777777" w:rsidTr="006820C4">
        <w:tc>
          <w:tcPr>
            <w:tcW w:w="3397" w:type="dxa"/>
          </w:tcPr>
          <w:p w14:paraId="705A911C" w14:textId="77777777" w:rsidR="00B63A12" w:rsidRPr="004F0495" w:rsidRDefault="00B63A12" w:rsidP="00603097">
            <w:pPr>
              <w:spacing w:after="160" w:line="480" w:lineRule="auto"/>
              <w:rPr>
                <w:b/>
                <w:bCs/>
                <w:lang w:val="en-GB"/>
              </w:rPr>
            </w:pPr>
            <w:r>
              <w:rPr>
                <w:b/>
                <w:bCs/>
                <w:lang w:val="en-GB"/>
              </w:rPr>
              <w:t>Minimum v</w:t>
            </w:r>
            <w:r w:rsidRPr="004F0495">
              <w:rPr>
                <w:b/>
                <w:bCs/>
                <w:lang w:val="en-GB"/>
              </w:rPr>
              <w:t>essel diameter</w:t>
            </w:r>
          </w:p>
        </w:tc>
        <w:tc>
          <w:tcPr>
            <w:tcW w:w="2613" w:type="dxa"/>
          </w:tcPr>
          <w:p w14:paraId="5D7DCC0B" w14:textId="77777777" w:rsidR="00B63A12" w:rsidRDefault="00B63A12" w:rsidP="00603097">
            <w:pPr>
              <w:spacing w:after="160" w:line="480" w:lineRule="auto"/>
              <w:jc w:val="center"/>
              <w:rPr>
                <w:lang w:val="en-GB"/>
              </w:rPr>
            </w:pPr>
            <w:r w:rsidRPr="004F0495">
              <w:rPr>
                <w:lang w:val="en-GB"/>
              </w:rPr>
              <w:t xml:space="preserve">0.91 </w:t>
            </w:r>
          </w:p>
          <w:p w14:paraId="3E0998FD" w14:textId="77777777" w:rsidR="00B63A12" w:rsidRPr="004F0495" w:rsidRDefault="00B63A12" w:rsidP="00603097">
            <w:pPr>
              <w:spacing w:after="160" w:line="480" w:lineRule="auto"/>
              <w:jc w:val="center"/>
              <w:rPr>
                <w:lang w:val="en-GB"/>
              </w:rPr>
            </w:pPr>
            <w:r w:rsidRPr="004F0495">
              <w:rPr>
                <w:lang w:val="en-GB"/>
              </w:rPr>
              <w:t>(95% CI: 0.87-0.93)</w:t>
            </w:r>
          </w:p>
        </w:tc>
        <w:tc>
          <w:tcPr>
            <w:tcW w:w="3006" w:type="dxa"/>
          </w:tcPr>
          <w:p w14:paraId="113EF755" w14:textId="77777777" w:rsidR="00B63A12" w:rsidRDefault="00B63A12" w:rsidP="00603097">
            <w:pPr>
              <w:spacing w:after="160" w:line="480" w:lineRule="auto"/>
              <w:jc w:val="center"/>
              <w:rPr>
                <w:lang w:val="en-GB"/>
              </w:rPr>
            </w:pPr>
            <w:r w:rsidRPr="004F0495">
              <w:rPr>
                <w:lang w:val="en-GB"/>
              </w:rPr>
              <w:t xml:space="preserve">0.73 </w:t>
            </w:r>
          </w:p>
          <w:p w14:paraId="37A32E0E" w14:textId="77777777" w:rsidR="00B63A12" w:rsidRPr="004F0495" w:rsidRDefault="00B63A12" w:rsidP="00603097">
            <w:pPr>
              <w:spacing w:after="160" w:line="480" w:lineRule="auto"/>
              <w:jc w:val="center"/>
              <w:rPr>
                <w:lang w:val="en-GB"/>
              </w:rPr>
            </w:pPr>
            <w:r w:rsidRPr="004F0495">
              <w:rPr>
                <w:lang w:val="en-GB"/>
              </w:rPr>
              <w:t>(95% CI: 0.70-0.88)</w:t>
            </w:r>
          </w:p>
        </w:tc>
      </w:tr>
      <w:tr w:rsidR="00B63A12" w:rsidRPr="00AF749D" w14:paraId="1368222E" w14:textId="77777777" w:rsidTr="006820C4">
        <w:tc>
          <w:tcPr>
            <w:tcW w:w="3397" w:type="dxa"/>
          </w:tcPr>
          <w:p w14:paraId="1DBFAA64" w14:textId="77777777" w:rsidR="00B63A12" w:rsidRPr="004F0495" w:rsidRDefault="00B63A12" w:rsidP="00603097">
            <w:pPr>
              <w:spacing w:after="160" w:line="480" w:lineRule="auto"/>
              <w:rPr>
                <w:b/>
                <w:bCs/>
                <w:lang w:val="en-GB"/>
              </w:rPr>
            </w:pPr>
            <w:r w:rsidRPr="004F0495">
              <w:rPr>
                <w:b/>
                <w:bCs/>
                <w:lang w:val="en-GB"/>
              </w:rPr>
              <w:t>Vessel area</w:t>
            </w:r>
          </w:p>
        </w:tc>
        <w:tc>
          <w:tcPr>
            <w:tcW w:w="2613" w:type="dxa"/>
          </w:tcPr>
          <w:p w14:paraId="5CF873AD" w14:textId="77777777" w:rsidR="00B63A12" w:rsidRDefault="00B63A12" w:rsidP="00603097">
            <w:pPr>
              <w:spacing w:after="160" w:line="480" w:lineRule="auto"/>
              <w:jc w:val="center"/>
              <w:rPr>
                <w:lang w:val="en-GB"/>
              </w:rPr>
            </w:pPr>
            <w:r w:rsidRPr="004F0495">
              <w:rPr>
                <w:lang w:val="en-GB"/>
              </w:rPr>
              <w:t xml:space="preserve">0.92 </w:t>
            </w:r>
          </w:p>
          <w:p w14:paraId="427A9A46" w14:textId="77777777" w:rsidR="00B63A12" w:rsidRPr="004F0495" w:rsidRDefault="00B63A12" w:rsidP="00603097">
            <w:pPr>
              <w:spacing w:after="160" w:line="480" w:lineRule="auto"/>
              <w:jc w:val="center"/>
              <w:rPr>
                <w:lang w:val="en-GB"/>
              </w:rPr>
            </w:pPr>
            <w:r w:rsidRPr="004F0495">
              <w:rPr>
                <w:lang w:val="en-GB"/>
              </w:rPr>
              <w:t>(95% CI: 0.89-0.95)</w:t>
            </w:r>
          </w:p>
        </w:tc>
        <w:tc>
          <w:tcPr>
            <w:tcW w:w="3006" w:type="dxa"/>
          </w:tcPr>
          <w:p w14:paraId="747D54E1" w14:textId="77777777" w:rsidR="00B63A12" w:rsidRDefault="00B63A12" w:rsidP="00603097">
            <w:pPr>
              <w:spacing w:after="160" w:line="480" w:lineRule="auto"/>
              <w:jc w:val="center"/>
              <w:rPr>
                <w:lang w:val="en-GB"/>
              </w:rPr>
            </w:pPr>
            <w:r w:rsidRPr="004F0495">
              <w:rPr>
                <w:lang w:val="en-GB"/>
              </w:rPr>
              <w:t xml:space="preserve">0.71 </w:t>
            </w:r>
          </w:p>
          <w:p w14:paraId="072E39B2" w14:textId="77777777" w:rsidR="00B63A12" w:rsidRPr="004F0495" w:rsidRDefault="00B63A12" w:rsidP="00603097">
            <w:pPr>
              <w:spacing w:after="160" w:line="480" w:lineRule="auto"/>
              <w:jc w:val="center"/>
              <w:rPr>
                <w:lang w:val="en-GB"/>
              </w:rPr>
            </w:pPr>
            <w:r w:rsidRPr="004F0495">
              <w:rPr>
                <w:lang w:val="en-GB"/>
              </w:rPr>
              <w:t>(95% CI: 0.61-0.90)</w:t>
            </w:r>
          </w:p>
        </w:tc>
      </w:tr>
      <w:tr w:rsidR="00B63A12" w:rsidRPr="00AF749D" w14:paraId="75F8F3A2" w14:textId="77777777" w:rsidTr="006820C4">
        <w:tc>
          <w:tcPr>
            <w:tcW w:w="3397" w:type="dxa"/>
          </w:tcPr>
          <w:p w14:paraId="1CF40140" w14:textId="77777777" w:rsidR="00B63A12" w:rsidRPr="004F0495" w:rsidRDefault="00B63A12" w:rsidP="00603097">
            <w:pPr>
              <w:spacing w:after="160" w:line="480" w:lineRule="auto"/>
              <w:rPr>
                <w:b/>
                <w:bCs/>
                <w:lang w:val="en-GB"/>
              </w:rPr>
            </w:pPr>
            <w:r>
              <w:rPr>
                <w:b/>
                <w:bCs/>
                <w:lang w:val="en-GB"/>
              </w:rPr>
              <w:t>Maximum</w:t>
            </w:r>
            <w:r w:rsidRPr="004F0495">
              <w:rPr>
                <w:b/>
                <w:bCs/>
                <w:lang w:val="en-GB"/>
              </w:rPr>
              <w:t xml:space="preserve"> wall thickness (mm)</w:t>
            </w:r>
          </w:p>
        </w:tc>
        <w:tc>
          <w:tcPr>
            <w:tcW w:w="2613" w:type="dxa"/>
          </w:tcPr>
          <w:p w14:paraId="57E0B31D" w14:textId="77777777" w:rsidR="00B63A12" w:rsidRDefault="00B63A12" w:rsidP="00603097">
            <w:pPr>
              <w:spacing w:after="160" w:line="480" w:lineRule="auto"/>
              <w:jc w:val="center"/>
              <w:rPr>
                <w:color w:val="000000"/>
                <w:shd w:val="clear" w:color="auto" w:fill="FFFFFF"/>
              </w:rPr>
            </w:pPr>
            <w:r w:rsidRPr="00AF749D">
              <w:rPr>
                <w:color w:val="000000"/>
                <w:shd w:val="clear" w:color="auto" w:fill="FFFFFF"/>
              </w:rPr>
              <w:t>0.8</w:t>
            </w:r>
            <w:r w:rsidRPr="004F0495">
              <w:rPr>
                <w:color w:val="000000"/>
                <w:shd w:val="clear" w:color="auto" w:fill="FFFFFF"/>
              </w:rPr>
              <w:t>8</w:t>
            </w:r>
            <w:r w:rsidRPr="00AF749D">
              <w:rPr>
                <w:color w:val="000000"/>
                <w:shd w:val="clear" w:color="auto" w:fill="FFFFFF"/>
              </w:rPr>
              <w:t xml:space="preserve"> </w:t>
            </w:r>
          </w:p>
          <w:p w14:paraId="62444895" w14:textId="77777777" w:rsidR="00B63A12" w:rsidRPr="004F0495" w:rsidRDefault="00B63A12" w:rsidP="00603097">
            <w:pPr>
              <w:spacing w:after="160" w:line="480" w:lineRule="auto"/>
              <w:jc w:val="center"/>
              <w:rPr>
                <w:lang w:val="en-GB"/>
              </w:rPr>
            </w:pPr>
            <w:r w:rsidRPr="00AF749D">
              <w:rPr>
                <w:color w:val="000000"/>
                <w:shd w:val="clear" w:color="auto" w:fill="FFFFFF"/>
              </w:rPr>
              <w:lastRenderedPageBreak/>
              <w:t>(95% CI: 0.</w:t>
            </w:r>
            <w:r w:rsidRPr="004F0495">
              <w:rPr>
                <w:color w:val="000000"/>
                <w:shd w:val="clear" w:color="auto" w:fill="FFFFFF"/>
              </w:rPr>
              <w:t>83</w:t>
            </w:r>
            <w:r w:rsidRPr="00AF749D">
              <w:rPr>
                <w:color w:val="000000"/>
                <w:shd w:val="clear" w:color="auto" w:fill="FFFFFF"/>
              </w:rPr>
              <w:t>–0.8</w:t>
            </w:r>
            <w:r w:rsidRPr="004F0495">
              <w:rPr>
                <w:color w:val="000000"/>
                <w:shd w:val="clear" w:color="auto" w:fill="FFFFFF"/>
              </w:rPr>
              <w:t>8</w:t>
            </w:r>
            <w:r w:rsidRPr="00AF749D">
              <w:rPr>
                <w:color w:val="000000"/>
                <w:shd w:val="clear" w:color="auto" w:fill="FFFFFF"/>
              </w:rPr>
              <w:t>)</w:t>
            </w:r>
          </w:p>
        </w:tc>
        <w:tc>
          <w:tcPr>
            <w:tcW w:w="3006" w:type="dxa"/>
          </w:tcPr>
          <w:p w14:paraId="70A16F4B" w14:textId="77777777" w:rsidR="00B63A12" w:rsidRDefault="00B63A12" w:rsidP="00603097">
            <w:pPr>
              <w:spacing w:after="160" w:line="480" w:lineRule="auto"/>
              <w:jc w:val="center"/>
              <w:rPr>
                <w:lang w:val="en-GB"/>
              </w:rPr>
            </w:pPr>
            <w:r w:rsidRPr="004F0495">
              <w:rPr>
                <w:lang w:val="en-GB"/>
              </w:rPr>
              <w:lastRenderedPageBreak/>
              <w:t xml:space="preserve">0.70 </w:t>
            </w:r>
          </w:p>
          <w:p w14:paraId="7C37710D" w14:textId="77777777" w:rsidR="00B63A12" w:rsidRPr="004F0495" w:rsidRDefault="00B63A12" w:rsidP="00603097">
            <w:pPr>
              <w:spacing w:after="160" w:line="480" w:lineRule="auto"/>
              <w:jc w:val="center"/>
              <w:rPr>
                <w:lang w:val="en-GB"/>
              </w:rPr>
            </w:pPr>
            <w:r w:rsidRPr="004F0495">
              <w:rPr>
                <w:lang w:val="en-GB"/>
              </w:rPr>
              <w:lastRenderedPageBreak/>
              <w:t>(95% CI: 0.63-0.89)</w:t>
            </w:r>
          </w:p>
        </w:tc>
      </w:tr>
      <w:tr w:rsidR="00B63A12" w:rsidRPr="00AF749D" w14:paraId="48F19756" w14:textId="77777777" w:rsidTr="006820C4">
        <w:tc>
          <w:tcPr>
            <w:tcW w:w="3397" w:type="dxa"/>
          </w:tcPr>
          <w:p w14:paraId="6AA78E0D" w14:textId="77777777" w:rsidR="00B63A12" w:rsidRPr="004F0495" w:rsidRDefault="00B63A12" w:rsidP="00603097">
            <w:pPr>
              <w:spacing w:after="160" w:line="480" w:lineRule="auto"/>
              <w:rPr>
                <w:b/>
                <w:bCs/>
                <w:lang w:val="en-GB"/>
              </w:rPr>
            </w:pPr>
            <w:r>
              <w:rPr>
                <w:b/>
                <w:bCs/>
                <w:lang w:val="en-GB"/>
              </w:rPr>
              <w:lastRenderedPageBreak/>
              <w:t>Minimum wall thickness</w:t>
            </w:r>
            <w:r w:rsidRPr="004F0495">
              <w:rPr>
                <w:b/>
                <w:bCs/>
                <w:lang w:val="en-GB"/>
              </w:rPr>
              <w:t xml:space="preserve"> (mm)</w:t>
            </w:r>
          </w:p>
        </w:tc>
        <w:tc>
          <w:tcPr>
            <w:tcW w:w="2613" w:type="dxa"/>
          </w:tcPr>
          <w:p w14:paraId="390180D5" w14:textId="77777777" w:rsidR="00B63A12" w:rsidRDefault="00B63A12" w:rsidP="00603097">
            <w:pPr>
              <w:spacing w:after="160" w:line="480" w:lineRule="auto"/>
              <w:jc w:val="center"/>
              <w:rPr>
                <w:lang w:val="en-GB"/>
              </w:rPr>
            </w:pPr>
            <w:r w:rsidRPr="004F0495">
              <w:rPr>
                <w:lang w:val="en-GB"/>
              </w:rPr>
              <w:t xml:space="preserve">0.89 </w:t>
            </w:r>
          </w:p>
          <w:p w14:paraId="09B84BBE" w14:textId="77777777" w:rsidR="00B63A12" w:rsidRPr="004F0495" w:rsidRDefault="00B63A12" w:rsidP="00603097">
            <w:pPr>
              <w:spacing w:after="160" w:line="480" w:lineRule="auto"/>
              <w:jc w:val="center"/>
              <w:rPr>
                <w:lang w:val="en-GB"/>
              </w:rPr>
            </w:pPr>
            <w:r w:rsidRPr="004F0495">
              <w:rPr>
                <w:lang w:val="en-GB"/>
              </w:rPr>
              <w:t>(</w:t>
            </w:r>
            <w:r w:rsidRPr="004F0495">
              <w:rPr>
                <w:color w:val="000000"/>
                <w:shd w:val="clear" w:color="auto" w:fill="FFFFFF"/>
              </w:rPr>
              <w:t>95% CI: 0.81–0.89)</w:t>
            </w:r>
          </w:p>
        </w:tc>
        <w:tc>
          <w:tcPr>
            <w:tcW w:w="3006" w:type="dxa"/>
          </w:tcPr>
          <w:p w14:paraId="7E3E5BC3" w14:textId="77777777" w:rsidR="00B63A12" w:rsidRDefault="00B63A12" w:rsidP="00603097">
            <w:pPr>
              <w:spacing w:after="160" w:line="480" w:lineRule="auto"/>
              <w:jc w:val="center"/>
              <w:rPr>
                <w:lang w:val="en-GB"/>
              </w:rPr>
            </w:pPr>
            <w:r w:rsidRPr="004F0495">
              <w:rPr>
                <w:lang w:val="en-GB"/>
              </w:rPr>
              <w:t xml:space="preserve">0.69 </w:t>
            </w:r>
          </w:p>
          <w:p w14:paraId="39533A55" w14:textId="77777777" w:rsidR="00B63A12" w:rsidRPr="004F0495" w:rsidRDefault="00B63A12" w:rsidP="00603097">
            <w:pPr>
              <w:spacing w:after="160" w:line="480" w:lineRule="auto"/>
              <w:jc w:val="center"/>
              <w:rPr>
                <w:lang w:val="en-GB"/>
              </w:rPr>
            </w:pPr>
            <w:r w:rsidRPr="004F0495">
              <w:rPr>
                <w:lang w:val="en-GB"/>
              </w:rPr>
              <w:t>(95% CI: 0.64-0.91)</w:t>
            </w:r>
          </w:p>
        </w:tc>
      </w:tr>
    </w:tbl>
    <w:p w14:paraId="77478A84" w14:textId="77777777" w:rsidR="00B63A12" w:rsidRDefault="00B63A12" w:rsidP="00603097">
      <w:pPr>
        <w:spacing w:line="480" w:lineRule="auto"/>
        <w:rPr>
          <w:b/>
          <w:bCs/>
          <w:i/>
          <w:iCs/>
          <w:sz w:val="24"/>
          <w:szCs w:val="24"/>
        </w:rPr>
      </w:pPr>
    </w:p>
    <w:p w14:paraId="14DC4046" w14:textId="77777777" w:rsidR="00A61F79" w:rsidRDefault="00A61F79" w:rsidP="00603097">
      <w:pPr>
        <w:spacing w:line="480" w:lineRule="auto"/>
      </w:pPr>
    </w:p>
    <w:sectPr w:rsidR="00A61F7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5297" w14:textId="77777777" w:rsidR="0052450F" w:rsidRDefault="0052450F" w:rsidP="00B63A12">
      <w:pPr>
        <w:spacing w:after="0" w:line="240" w:lineRule="auto"/>
      </w:pPr>
      <w:r>
        <w:separator/>
      </w:r>
    </w:p>
  </w:endnote>
  <w:endnote w:type="continuationSeparator" w:id="0">
    <w:p w14:paraId="2051DF83" w14:textId="77777777" w:rsidR="0052450F" w:rsidRDefault="0052450F" w:rsidP="00B6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9A7B" w14:textId="09B53F5D" w:rsidR="00B63A12" w:rsidRDefault="00B63A12">
    <w:pPr>
      <w:pStyle w:val="Footer"/>
      <w:jc w:val="right"/>
    </w:pPr>
  </w:p>
  <w:p w14:paraId="4134983A" w14:textId="77777777" w:rsidR="006820C4" w:rsidRDefault="0068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A14D" w14:textId="77777777" w:rsidR="0052450F" w:rsidRDefault="0052450F" w:rsidP="00B63A12">
      <w:pPr>
        <w:spacing w:after="0" w:line="240" w:lineRule="auto"/>
      </w:pPr>
      <w:r>
        <w:separator/>
      </w:r>
    </w:p>
  </w:footnote>
  <w:footnote w:type="continuationSeparator" w:id="0">
    <w:p w14:paraId="0EECF899" w14:textId="77777777" w:rsidR="0052450F" w:rsidRDefault="0052450F" w:rsidP="00B63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12"/>
    <w:rsid w:val="000A2DE0"/>
    <w:rsid w:val="002D737F"/>
    <w:rsid w:val="002E1052"/>
    <w:rsid w:val="0052450F"/>
    <w:rsid w:val="00603097"/>
    <w:rsid w:val="006820C4"/>
    <w:rsid w:val="009F0F5B"/>
    <w:rsid w:val="00A61F79"/>
    <w:rsid w:val="00B63A12"/>
    <w:rsid w:val="00C9187F"/>
    <w:rsid w:val="00CA7DD3"/>
    <w:rsid w:val="00CB2717"/>
    <w:rsid w:val="00D966A7"/>
    <w:rsid w:val="00F2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7DFE"/>
  <w15:docId w15:val="{462D407D-C1E0-4B68-B3AA-DA7B9B9F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12"/>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63A12"/>
    <w:pPr>
      <w:spacing w:line="240" w:lineRule="auto"/>
    </w:pPr>
    <w:rPr>
      <w:i/>
      <w:iCs/>
      <w:color w:val="44546A" w:themeColor="text2"/>
      <w:sz w:val="18"/>
      <w:szCs w:val="18"/>
    </w:rPr>
  </w:style>
  <w:style w:type="paragraph" w:styleId="Footer">
    <w:name w:val="footer"/>
    <w:basedOn w:val="Normal"/>
    <w:link w:val="FooterChar"/>
    <w:uiPriority w:val="99"/>
    <w:unhideWhenUsed/>
    <w:rsid w:val="00B6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12"/>
    <w:rPr>
      <w:rFonts w:ascii="Calibri" w:eastAsia="Times New Roman" w:hAnsi="Calibri" w:cs="Times New Roman"/>
      <w:lang w:val="en-US"/>
    </w:rPr>
  </w:style>
  <w:style w:type="paragraph" w:styleId="Header">
    <w:name w:val="header"/>
    <w:basedOn w:val="Normal"/>
    <w:link w:val="HeaderChar"/>
    <w:uiPriority w:val="99"/>
    <w:unhideWhenUsed/>
    <w:rsid w:val="00B6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12"/>
    <w:rPr>
      <w:rFonts w:ascii="Calibri" w:eastAsia="Times New Roman" w:hAnsi="Calibri" w:cs="Times New Roman"/>
      <w:lang w:val="en-US"/>
    </w:rPr>
  </w:style>
  <w:style w:type="table" w:customStyle="1" w:styleId="PlainTable21">
    <w:name w:val="Plain Table 21"/>
    <w:basedOn w:val="TableNormal"/>
    <w:uiPriority w:val="42"/>
    <w:rsid w:val="00CB27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Leo</dc:creator>
  <cp:keywords/>
  <dc:description/>
  <cp:lastModifiedBy>Milena Leo</cp:lastModifiedBy>
  <cp:revision>3</cp:revision>
  <dcterms:created xsi:type="dcterms:W3CDTF">2021-05-19T12:03:00Z</dcterms:created>
  <dcterms:modified xsi:type="dcterms:W3CDTF">2021-05-20T11:14:00Z</dcterms:modified>
</cp:coreProperties>
</file>