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3AF3" w14:textId="77777777" w:rsidR="00AA01B7" w:rsidRDefault="00AA01B7" w:rsidP="00AA01B7">
      <w:pPr>
        <w:jc w:val="left"/>
        <w:rPr>
          <w:rFonts w:ascii="Times New Roman" w:hAnsi="Times New Roman" w:cs="Times New Roman"/>
          <w:b/>
          <w:color w:val="000000" w:themeColor="text1"/>
          <w:sz w:val="32"/>
          <w:szCs w:val="32"/>
          <w:lang w:bidi="ar"/>
        </w:rPr>
      </w:pPr>
      <w:r w:rsidRPr="001849E3">
        <w:rPr>
          <w:rFonts w:ascii="Times New Roman" w:hAnsi="Times New Roman" w:cs="Times New Roman"/>
          <w:b/>
          <w:color w:val="000000" w:themeColor="text1"/>
          <w:sz w:val="32"/>
          <w:szCs w:val="32"/>
          <w:lang w:bidi="ar"/>
        </w:rPr>
        <w:t xml:space="preserve">The effects of </w:t>
      </w:r>
      <w:r w:rsidRPr="001849E3">
        <w:rPr>
          <w:rFonts w:ascii="Times New Roman" w:hAnsi="Times New Roman" w:cs="Times New Roman"/>
          <w:b/>
          <w:bCs/>
          <w:color w:val="000000" w:themeColor="text1"/>
          <w:sz w:val="32"/>
          <w:szCs w:val="32"/>
        </w:rPr>
        <w:t>extracellular vesicles</w:t>
      </w:r>
      <w:r w:rsidRPr="001849E3">
        <w:rPr>
          <w:rFonts w:ascii="Times New Roman" w:hAnsi="Times New Roman" w:cs="Times New Roman"/>
          <w:b/>
          <w:color w:val="000000" w:themeColor="text1"/>
          <w:sz w:val="32"/>
          <w:szCs w:val="32"/>
          <w:lang w:bidi="ar"/>
        </w:rPr>
        <w:t xml:space="preserve"> derived from Krüppel-Like Factor 2 overexpressed endothelial cells on the regulation of cardiac inflammation in the dilated cardiomyopathy</w:t>
      </w:r>
    </w:p>
    <w:p w14:paraId="4805132F" w14:textId="77777777" w:rsidR="00F92DB9" w:rsidRPr="00AA01B7" w:rsidRDefault="00F92DB9">
      <w:pPr>
        <w:widowControl/>
        <w:jc w:val="left"/>
      </w:pPr>
    </w:p>
    <w:p w14:paraId="288F47D6" w14:textId="77777777" w:rsidR="00635572" w:rsidRPr="00F2654F" w:rsidRDefault="00635572" w:rsidP="00635572">
      <w:pPr>
        <w:spacing w:line="273" w:lineRule="auto"/>
        <w:rPr>
          <w:rFonts w:ascii="Times New Roman" w:hAnsi="Times New Roman" w:cs="Times New Roman"/>
          <w:bCs/>
          <w:szCs w:val="21"/>
        </w:rPr>
      </w:pPr>
      <w:r w:rsidRPr="00B53977">
        <w:rPr>
          <w:rFonts w:ascii="Times New Roman" w:hAnsi="Times New Roman" w:cs="Times New Roman"/>
          <w:bCs/>
          <w:szCs w:val="21"/>
        </w:rPr>
        <w:t xml:space="preserve">Wenfeng Zhang </w:t>
      </w:r>
      <w:r w:rsidRPr="00B53977">
        <w:rPr>
          <w:rFonts w:ascii="Times New Roman" w:hAnsi="Times New Roman" w:cs="Times New Roman"/>
          <w:bCs/>
          <w:szCs w:val="21"/>
          <w:vertAlign w:val="superscript"/>
        </w:rPr>
        <w:t>1#</w:t>
      </w:r>
      <w:r w:rsidRPr="00B53977">
        <w:rPr>
          <w:rFonts w:ascii="Times New Roman" w:hAnsi="Times New Roman" w:cs="Times New Roman" w:hint="eastAsia"/>
          <w:bCs/>
          <w:szCs w:val="21"/>
        </w:rPr>
        <w:t>,</w:t>
      </w:r>
      <w:r w:rsidRPr="00B53977">
        <w:rPr>
          <w:rFonts w:ascii="Times New Roman" w:hAnsi="Times New Roman" w:cs="Times New Roman"/>
          <w:bCs/>
          <w:szCs w:val="21"/>
        </w:rPr>
        <w:t xml:space="preserve"> Ziwei Chen </w:t>
      </w:r>
      <w:r w:rsidRPr="00B53977">
        <w:rPr>
          <w:rFonts w:ascii="Times New Roman" w:hAnsi="Times New Roman" w:cs="Times New Roman"/>
          <w:bCs/>
          <w:szCs w:val="21"/>
          <w:vertAlign w:val="superscript"/>
        </w:rPr>
        <w:t>1#</w:t>
      </w:r>
      <w:r w:rsidRPr="00B53977">
        <w:rPr>
          <w:rFonts w:ascii="Times New Roman" w:hAnsi="Times New Roman" w:cs="Times New Roman" w:hint="eastAsia"/>
          <w:bCs/>
          <w:szCs w:val="21"/>
        </w:rPr>
        <w:t>,</w:t>
      </w:r>
      <w:r w:rsidRPr="00B53977">
        <w:rPr>
          <w:rFonts w:ascii="Times New Roman" w:hAnsi="Times New Roman" w:cs="Times New Roman"/>
          <w:bCs/>
          <w:szCs w:val="21"/>
        </w:rPr>
        <w:t xml:space="preserve"> Shuaihua Qiao</w:t>
      </w:r>
      <w:r w:rsidRPr="00B53977">
        <w:rPr>
          <w:rFonts w:ascii="Times New Roman" w:hAnsi="Times New Roman" w:cs="Times New Roman"/>
          <w:bCs/>
          <w:szCs w:val="21"/>
          <w:vertAlign w:val="superscript"/>
        </w:rPr>
        <w:t>2#</w:t>
      </w:r>
      <w:r w:rsidRPr="00B53977">
        <w:rPr>
          <w:rFonts w:ascii="Times New Roman" w:hAnsi="Times New Roman" w:cs="Times New Roman" w:hint="eastAsia"/>
          <w:bCs/>
          <w:szCs w:val="21"/>
        </w:rPr>
        <w:t>,</w:t>
      </w:r>
      <w:r w:rsidRPr="00B53977">
        <w:rPr>
          <w:rFonts w:ascii="Times New Roman" w:hAnsi="Times New Roman" w:cs="Times New Roman"/>
          <w:bCs/>
          <w:szCs w:val="21"/>
        </w:rPr>
        <w:t xml:space="preserve"> Siyuan Chen</w:t>
      </w:r>
      <w:r w:rsidRPr="00B53977">
        <w:rPr>
          <w:rFonts w:ascii="Times New Roman" w:hAnsi="Times New Roman" w:cs="Times New Roman"/>
          <w:bCs/>
          <w:szCs w:val="21"/>
          <w:vertAlign w:val="superscript"/>
        </w:rPr>
        <w:t>1</w:t>
      </w:r>
      <w:r w:rsidRPr="00B53977">
        <w:rPr>
          <w:rFonts w:ascii="Times New Roman" w:hAnsi="Times New Roman" w:cs="Times New Roman"/>
          <w:bCs/>
          <w:szCs w:val="21"/>
        </w:rPr>
        <w:t xml:space="preserve">; Hongyan Zheng </w:t>
      </w:r>
      <w:r w:rsidRPr="00B53977">
        <w:rPr>
          <w:rFonts w:ascii="Times New Roman" w:hAnsi="Times New Roman" w:cs="Times New Roman"/>
          <w:bCs/>
          <w:szCs w:val="21"/>
          <w:vertAlign w:val="superscript"/>
        </w:rPr>
        <w:t>2</w:t>
      </w:r>
      <w:r w:rsidRPr="00B53977">
        <w:rPr>
          <w:rFonts w:ascii="Times New Roman" w:hAnsi="Times New Roman" w:cs="Times New Roman"/>
          <w:bCs/>
          <w:szCs w:val="21"/>
        </w:rPr>
        <w:t>, Xuan Wei</w:t>
      </w:r>
      <w:r w:rsidRPr="00B53977">
        <w:rPr>
          <w:rFonts w:ascii="Times New Roman" w:hAnsi="Times New Roman" w:cs="Times New Roman"/>
          <w:bCs/>
          <w:szCs w:val="21"/>
          <w:vertAlign w:val="superscript"/>
        </w:rPr>
        <w:t xml:space="preserve"> 2</w:t>
      </w:r>
      <w:r w:rsidRPr="00B53977">
        <w:rPr>
          <w:rFonts w:ascii="Times New Roman" w:hAnsi="Times New Roman" w:cs="Times New Roman"/>
          <w:bCs/>
          <w:szCs w:val="21"/>
        </w:rPr>
        <w:t>, Qiaoling Li</w:t>
      </w:r>
      <w:r>
        <w:rPr>
          <w:rFonts w:ascii="Times New Roman" w:hAnsi="Times New Roman" w:cs="Times New Roman"/>
          <w:bCs/>
          <w:szCs w:val="21"/>
          <w:vertAlign w:val="superscript"/>
        </w:rPr>
        <w:t>3</w:t>
      </w:r>
      <w:r w:rsidRPr="00B53977">
        <w:rPr>
          <w:rFonts w:ascii="Times New Roman" w:hAnsi="Times New Roman" w:cs="Times New Roman"/>
          <w:bCs/>
          <w:szCs w:val="21"/>
          <w:vertAlign w:val="superscript"/>
        </w:rPr>
        <w:t>*</w:t>
      </w:r>
      <w:r w:rsidRPr="00B53977">
        <w:rPr>
          <w:rFonts w:ascii="Times New Roman" w:hAnsi="Times New Roman" w:cs="Times New Roman"/>
          <w:bCs/>
          <w:szCs w:val="21"/>
        </w:rPr>
        <w:t>, Biao Xu</w:t>
      </w:r>
      <w:r>
        <w:rPr>
          <w:rFonts w:ascii="Times New Roman" w:hAnsi="Times New Roman" w:cs="Times New Roman"/>
          <w:bCs/>
          <w:szCs w:val="21"/>
          <w:vertAlign w:val="superscript"/>
        </w:rPr>
        <w:t>4</w:t>
      </w:r>
      <w:r w:rsidRPr="00F2654F">
        <w:rPr>
          <w:rFonts w:ascii="Times New Roman" w:hAnsi="Times New Roman" w:cs="Times New Roman"/>
          <w:bCs/>
          <w:szCs w:val="21"/>
          <w:vertAlign w:val="superscript"/>
        </w:rPr>
        <w:t>,</w:t>
      </w:r>
      <w:r>
        <w:rPr>
          <w:rFonts w:ascii="Times New Roman" w:hAnsi="Times New Roman" w:cs="Times New Roman"/>
          <w:bCs/>
          <w:szCs w:val="21"/>
          <w:vertAlign w:val="superscript"/>
        </w:rPr>
        <w:t>5</w:t>
      </w:r>
      <w:r w:rsidRPr="00F2654F">
        <w:rPr>
          <w:rFonts w:ascii="Times New Roman" w:hAnsi="Times New Roman" w:cs="Times New Roman"/>
          <w:bCs/>
          <w:szCs w:val="21"/>
          <w:vertAlign w:val="superscript"/>
        </w:rPr>
        <w:t>*</w:t>
      </w:r>
      <w:r w:rsidRPr="00B53977">
        <w:rPr>
          <w:rFonts w:ascii="Times New Roman" w:hAnsi="Times New Roman" w:cs="Times New Roman"/>
          <w:bCs/>
          <w:szCs w:val="21"/>
        </w:rPr>
        <w:t>, Wei Huang</w:t>
      </w:r>
      <w:r w:rsidRPr="00B53977">
        <w:rPr>
          <w:rFonts w:ascii="Times New Roman" w:hAnsi="Times New Roman" w:cs="Times New Roman"/>
          <w:bCs/>
          <w:szCs w:val="21"/>
          <w:vertAlign w:val="superscript"/>
        </w:rPr>
        <w:t xml:space="preserve"> </w:t>
      </w:r>
      <w:r>
        <w:rPr>
          <w:rFonts w:ascii="Times New Roman" w:hAnsi="Times New Roman" w:cs="Times New Roman"/>
          <w:bCs/>
          <w:szCs w:val="21"/>
          <w:vertAlign w:val="superscript"/>
        </w:rPr>
        <w:t>6</w:t>
      </w:r>
      <w:r w:rsidRPr="00B53977">
        <w:rPr>
          <w:rFonts w:ascii="Times New Roman" w:hAnsi="Times New Roman" w:cs="Times New Roman"/>
          <w:bCs/>
          <w:szCs w:val="21"/>
          <w:vertAlign w:val="superscript"/>
        </w:rPr>
        <w:t>*</w:t>
      </w:r>
    </w:p>
    <w:p w14:paraId="1BC3A81F" w14:textId="77777777" w:rsidR="00635572" w:rsidRPr="00B53977" w:rsidRDefault="00635572" w:rsidP="00635572">
      <w:pPr>
        <w:spacing w:line="273" w:lineRule="auto"/>
        <w:rPr>
          <w:rFonts w:ascii="Times New Roman" w:hAnsi="Times New Roman" w:cs="Times New Roman"/>
          <w:bCs/>
          <w:szCs w:val="21"/>
        </w:rPr>
      </w:pPr>
    </w:p>
    <w:p w14:paraId="5529BE15" w14:textId="77777777" w:rsidR="000B4686" w:rsidRPr="00354071" w:rsidRDefault="000B4686" w:rsidP="000B4686">
      <w:pPr>
        <w:ind w:left="420" w:hangingChars="200" w:hanging="420"/>
        <w:rPr>
          <w:rFonts w:ascii="Times New Roman" w:hAnsi="Times New Roman" w:cs="Times New Roman"/>
          <w:bCs/>
          <w:szCs w:val="21"/>
        </w:rPr>
      </w:pPr>
      <w:bookmarkStart w:id="0" w:name="_Hlk74510551"/>
      <w:r w:rsidRPr="00354071">
        <w:rPr>
          <w:rFonts w:ascii="Times New Roman" w:hAnsi="Times New Roman" w:cs="Times New Roman"/>
          <w:bCs/>
          <w:szCs w:val="21"/>
          <w:vertAlign w:val="superscript"/>
        </w:rPr>
        <w:t>1</w:t>
      </w:r>
      <w:r>
        <w:rPr>
          <w:rFonts w:ascii="Times New Roman" w:hAnsi="Times New Roman" w:cs="Times New Roman"/>
          <w:bCs/>
          <w:szCs w:val="21"/>
          <w:vertAlign w:val="superscript"/>
        </w:rPr>
        <w:t xml:space="preserve">     </w:t>
      </w:r>
      <w:r w:rsidRPr="00354071">
        <w:rPr>
          <w:rFonts w:ascii="Times New Roman" w:hAnsi="Times New Roman" w:cs="Times New Roman"/>
          <w:bCs/>
          <w:szCs w:val="21"/>
        </w:rPr>
        <w:t>Department of Cardiology, Nanjing Drum Tower Hospital Clinical College of Nanjing Medical University, Nanjing, 210008, China.</w:t>
      </w:r>
    </w:p>
    <w:p w14:paraId="3D6E0BFD" w14:textId="160E3E8A" w:rsidR="000B4686" w:rsidRPr="00354071" w:rsidRDefault="000B4686" w:rsidP="000B4686">
      <w:pPr>
        <w:ind w:left="420" w:hangingChars="200" w:hanging="420"/>
        <w:rPr>
          <w:rFonts w:ascii="Times New Roman" w:hAnsi="Times New Roman" w:cs="Times New Roman"/>
          <w:bCs/>
          <w:szCs w:val="21"/>
        </w:rPr>
      </w:pPr>
      <w:r w:rsidRPr="00354071">
        <w:rPr>
          <w:rFonts w:ascii="Times New Roman" w:hAnsi="Times New Roman" w:cs="Times New Roman"/>
          <w:bCs/>
          <w:szCs w:val="21"/>
          <w:vertAlign w:val="superscript"/>
        </w:rPr>
        <w:t>2</w:t>
      </w:r>
      <w:r>
        <w:rPr>
          <w:rFonts w:ascii="Times New Roman" w:hAnsi="Times New Roman" w:cs="Times New Roman"/>
          <w:bCs/>
          <w:szCs w:val="21"/>
          <w:vertAlign w:val="superscript"/>
        </w:rPr>
        <w:t xml:space="preserve">    </w:t>
      </w:r>
      <w:r w:rsidRPr="00354071">
        <w:rPr>
          <w:rFonts w:ascii="Times New Roman" w:hAnsi="Times New Roman" w:cs="Times New Roman"/>
          <w:bCs/>
          <w:szCs w:val="21"/>
        </w:rPr>
        <w:t>Department of Cardiology, Affiliated Drum Tower Hospital, Medical School of Nanjing University, Nanjing, 210008</w:t>
      </w:r>
      <w:r>
        <w:rPr>
          <w:rFonts w:ascii="Times New Roman" w:hAnsi="Times New Roman" w:cs="Times New Roman" w:hint="eastAsia"/>
          <w:bCs/>
          <w:szCs w:val="21"/>
        </w:rPr>
        <w:t>,</w:t>
      </w:r>
      <w:r>
        <w:rPr>
          <w:rFonts w:ascii="Times New Roman" w:hAnsi="Times New Roman" w:cs="Times New Roman"/>
          <w:bCs/>
          <w:szCs w:val="21"/>
        </w:rPr>
        <w:t xml:space="preserve"> </w:t>
      </w:r>
      <w:r w:rsidRPr="00354071">
        <w:rPr>
          <w:rFonts w:ascii="Times New Roman" w:hAnsi="Times New Roman" w:cs="Times New Roman"/>
          <w:bCs/>
          <w:szCs w:val="21"/>
        </w:rPr>
        <w:t>China.</w:t>
      </w:r>
    </w:p>
    <w:p w14:paraId="41CEB304" w14:textId="0680CB91" w:rsidR="000B4686" w:rsidRPr="000B4686" w:rsidRDefault="000B4686" w:rsidP="000B4686">
      <w:pPr>
        <w:spacing w:line="273" w:lineRule="auto"/>
        <w:ind w:left="420" w:hangingChars="200" w:hanging="420"/>
        <w:rPr>
          <w:rFonts w:ascii="Times New Roman" w:hAnsi="Times New Roman" w:cs="Times New Roman" w:hint="eastAsia"/>
          <w:bCs/>
          <w:szCs w:val="21"/>
        </w:rPr>
      </w:pPr>
      <w:r>
        <w:rPr>
          <w:rFonts w:ascii="Times New Roman" w:hAnsi="Times New Roman" w:cs="Times New Roman"/>
          <w:bCs/>
          <w:szCs w:val="21"/>
          <w:vertAlign w:val="superscript"/>
        </w:rPr>
        <w:t xml:space="preserve">3    </w:t>
      </w:r>
      <w:r w:rsidRPr="00354071">
        <w:rPr>
          <w:rFonts w:ascii="Times New Roman" w:hAnsi="Times New Roman" w:cs="Times New Roman"/>
          <w:bCs/>
          <w:szCs w:val="21"/>
        </w:rPr>
        <w:t>Department of Cardiology, Affiliat</w:t>
      </w:r>
      <w:r w:rsidRPr="000B4686">
        <w:rPr>
          <w:rFonts w:ascii="Times New Roman" w:hAnsi="Times New Roman" w:cs="Times New Roman"/>
          <w:bCs/>
          <w:szCs w:val="21"/>
        </w:rPr>
        <w:t>ed Drum Tower Hospital, Medical School of Nanjing University, Nanjing, 210008</w:t>
      </w:r>
      <w:r w:rsidRPr="000B4686">
        <w:rPr>
          <w:rFonts w:ascii="Times New Roman" w:hAnsi="Times New Roman" w:cs="Times New Roman" w:hint="eastAsia"/>
          <w:bCs/>
          <w:szCs w:val="21"/>
        </w:rPr>
        <w:t>,</w:t>
      </w:r>
      <w:r w:rsidRPr="000B4686">
        <w:rPr>
          <w:rFonts w:ascii="Times New Roman" w:hAnsi="Times New Roman" w:cs="Times New Roman"/>
          <w:bCs/>
          <w:szCs w:val="21"/>
        </w:rPr>
        <w:t xml:space="preserve"> China. </w:t>
      </w:r>
      <w:hyperlink r:id="rId7" w:history="1">
        <w:r w:rsidRPr="000B4686">
          <w:rPr>
            <w:rStyle w:val="ac"/>
            <w:rFonts w:ascii="Times New Roman" w:hAnsi="Times New Roman" w:cs="Times New Roman"/>
            <w:bCs/>
            <w:color w:val="auto"/>
            <w:szCs w:val="21"/>
            <w:u w:val="none"/>
          </w:rPr>
          <w:t>lqldoctor@126.com</w:t>
        </w:r>
      </w:hyperlink>
      <w:r w:rsidRPr="000B4686">
        <w:rPr>
          <w:rStyle w:val="ac"/>
          <w:rFonts w:ascii="Times New Roman" w:hAnsi="Times New Roman" w:cs="Times New Roman" w:hint="eastAsia"/>
          <w:bCs/>
          <w:color w:val="auto"/>
          <w:szCs w:val="21"/>
          <w:u w:val="none"/>
        </w:rPr>
        <w:t>.</w:t>
      </w:r>
    </w:p>
    <w:p w14:paraId="31B66C95" w14:textId="77777777" w:rsidR="000B4686" w:rsidRPr="000B4686" w:rsidRDefault="000B4686" w:rsidP="000B4686">
      <w:pPr>
        <w:ind w:left="420" w:hangingChars="200" w:hanging="420"/>
        <w:rPr>
          <w:rFonts w:ascii="Times New Roman" w:hAnsi="Times New Roman" w:cs="Times New Roman"/>
          <w:bCs/>
          <w:szCs w:val="21"/>
        </w:rPr>
      </w:pPr>
      <w:r w:rsidRPr="000B4686">
        <w:rPr>
          <w:rFonts w:ascii="Times New Roman" w:hAnsi="Times New Roman" w:cs="Times New Roman"/>
          <w:bCs/>
          <w:szCs w:val="21"/>
          <w:vertAlign w:val="superscript"/>
        </w:rPr>
        <w:t xml:space="preserve">4     </w:t>
      </w:r>
      <w:r w:rsidRPr="000B4686">
        <w:rPr>
          <w:rFonts w:ascii="Times New Roman" w:hAnsi="Times New Roman" w:cs="Times New Roman"/>
          <w:bCs/>
          <w:szCs w:val="21"/>
        </w:rPr>
        <w:t xml:space="preserve">Department of Cardiology, Nanjing Drum Tower Hospital Clinical College of Nanjing Medical University, Nanjing, 210008, China. </w:t>
      </w:r>
      <w:hyperlink r:id="rId8" w:history="1">
        <w:r w:rsidRPr="000B4686">
          <w:rPr>
            <w:rStyle w:val="ac"/>
            <w:rFonts w:ascii="Times New Roman" w:hAnsi="Times New Roman" w:cs="Times New Roman"/>
            <w:bCs/>
            <w:color w:val="auto"/>
            <w:szCs w:val="21"/>
            <w:u w:val="none"/>
          </w:rPr>
          <w:t>xubiao62@nju.edu.cn</w:t>
        </w:r>
      </w:hyperlink>
      <w:r w:rsidRPr="000B4686">
        <w:rPr>
          <w:rFonts w:ascii="Times New Roman" w:hAnsi="Times New Roman" w:cs="Times New Roman"/>
          <w:bCs/>
          <w:szCs w:val="21"/>
        </w:rPr>
        <w:t>.</w:t>
      </w:r>
    </w:p>
    <w:p w14:paraId="3E705896" w14:textId="3B81E4D6" w:rsidR="000B4686" w:rsidRPr="000B4686" w:rsidRDefault="000B4686" w:rsidP="000B4686">
      <w:pPr>
        <w:ind w:left="420" w:hangingChars="200" w:hanging="420"/>
        <w:rPr>
          <w:rFonts w:ascii="Times New Roman" w:hAnsi="Times New Roman" w:cs="Times New Roman"/>
          <w:bCs/>
          <w:szCs w:val="21"/>
        </w:rPr>
      </w:pPr>
      <w:r w:rsidRPr="000B4686">
        <w:rPr>
          <w:rFonts w:ascii="Times New Roman" w:hAnsi="Times New Roman" w:cs="Times New Roman"/>
          <w:bCs/>
          <w:szCs w:val="21"/>
          <w:vertAlign w:val="superscript"/>
        </w:rPr>
        <w:t xml:space="preserve">5    </w:t>
      </w:r>
      <w:r w:rsidRPr="000B4686">
        <w:rPr>
          <w:rFonts w:ascii="Times New Roman" w:hAnsi="Times New Roman" w:cs="Times New Roman"/>
          <w:bCs/>
          <w:szCs w:val="21"/>
        </w:rPr>
        <w:t>Department of Cardiology, Affiliated Drum Tower Hospital, Medical School of Nanjing University, Nanjing, 210008</w:t>
      </w:r>
      <w:r w:rsidRPr="000B4686">
        <w:rPr>
          <w:rFonts w:ascii="Times New Roman" w:hAnsi="Times New Roman" w:cs="Times New Roman" w:hint="eastAsia"/>
          <w:bCs/>
          <w:szCs w:val="21"/>
        </w:rPr>
        <w:t>,</w:t>
      </w:r>
      <w:r w:rsidRPr="000B4686">
        <w:rPr>
          <w:rFonts w:ascii="Times New Roman" w:hAnsi="Times New Roman" w:cs="Times New Roman"/>
          <w:bCs/>
          <w:szCs w:val="21"/>
        </w:rPr>
        <w:t xml:space="preserve"> China. </w:t>
      </w:r>
      <w:hyperlink r:id="rId9" w:history="1">
        <w:r w:rsidRPr="000B4686">
          <w:rPr>
            <w:rStyle w:val="ac"/>
            <w:rFonts w:ascii="Times New Roman" w:hAnsi="Times New Roman" w:cs="Times New Roman"/>
            <w:bCs/>
            <w:color w:val="auto"/>
            <w:szCs w:val="21"/>
            <w:u w:val="none"/>
          </w:rPr>
          <w:t>xubiao62@nju.edu.cn</w:t>
        </w:r>
      </w:hyperlink>
      <w:r w:rsidRPr="000B4686">
        <w:rPr>
          <w:rFonts w:ascii="Times New Roman" w:hAnsi="Times New Roman" w:cs="Times New Roman"/>
          <w:bCs/>
          <w:szCs w:val="21"/>
        </w:rPr>
        <w:t>.</w:t>
      </w:r>
    </w:p>
    <w:p w14:paraId="77033EC4" w14:textId="77777777" w:rsidR="000B4686" w:rsidRPr="000B4686" w:rsidRDefault="000B4686" w:rsidP="000B4686">
      <w:pPr>
        <w:ind w:left="420" w:hangingChars="200" w:hanging="420"/>
        <w:rPr>
          <w:rFonts w:ascii="Times New Roman" w:hAnsi="Times New Roman" w:cs="Times New Roman"/>
          <w:szCs w:val="21"/>
        </w:rPr>
      </w:pPr>
      <w:r w:rsidRPr="000B4686">
        <w:rPr>
          <w:rFonts w:ascii="Times New Roman" w:hAnsi="Times New Roman" w:cs="Times New Roman"/>
          <w:bCs/>
          <w:szCs w:val="21"/>
          <w:vertAlign w:val="superscript"/>
        </w:rPr>
        <w:t xml:space="preserve">6     </w:t>
      </w:r>
      <w:r w:rsidRPr="000B4686">
        <w:rPr>
          <w:rFonts w:ascii="Times New Roman" w:hAnsi="Times New Roman" w:cs="Times New Roman"/>
          <w:bCs/>
          <w:szCs w:val="21"/>
        </w:rPr>
        <w:t xml:space="preserve">Department of Cardiology, Nanjing Drum Tower Hospital Clinical College of Nanjing Medical University, Nanjing, 210008, China. </w:t>
      </w:r>
      <w:r w:rsidRPr="000B4686">
        <w:rPr>
          <w:rFonts w:ascii="Times New Roman" w:hAnsi="Times New Roman" w:cs="Times New Roman"/>
          <w:szCs w:val="21"/>
        </w:rPr>
        <w:t>1210252287@</w:t>
      </w:r>
      <w:r w:rsidRPr="000B4686">
        <w:rPr>
          <w:rFonts w:ascii="Times New Roman" w:hAnsi="Times New Roman" w:cs="Times New Roman" w:hint="eastAsia"/>
          <w:szCs w:val="21"/>
        </w:rPr>
        <w:t>qq</w:t>
      </w:r>
      <w:r w:rsidRPr="000B4686">
        <w:rPr>
          <w:rFonts w:ascii="Times New Roman" w:hAnsi="Times New Roman" w:cs="Times New Roman"/>
          <w:szCs w:val="21"/>
        </w:rPr>
        <w:t>.com.</w:t>
      </w:r>
    </w:p>
    <w:p w14:paraId="528BE1F5" w14:textId="77777777" w:rsidR="000B4686" w:rsidRPr="000B4686" w:rsidRDefault="000B4686" w:rsidP="000B4686">
      <w:pPr>
        <w:rPr>
          <w:rFonts w:ascii="Times New Roman" w:hAnsi="Times New Roman" w:cs="Times New Roman"/>
          <w:bCs/>
          <w:szCs w:val="21"/>
        </w:rPr>
      </w:pPr>
      <w:r w:rsidRPr="000B4686">
        <w:rPr>
          <w:rFonts w:ascii="Times New Roman" w:hAnsi="Times New Roman" w:cs="Times New Roman"/>
          <w:bCs/>
          <w:szCs w:val="21"/>
          <w:vertAlign w:val="superscript"/>
        </w:rPr>
        <w:t xml:space="preserve">#     </w:t>
      </w:r>
      <w:r w:rsidRPr="000B4686">
        <w:rPr>
          <w:rFonts w:ascii="Times New Roman" w:hAnsi="Times New Roman" w:cs="Times New Roman"/>
          <w:bCs/>
          <w:szCs w:val="21"/>
        </w:rPr>
        <w:t>Contributed equally.</w:t>
      </w:r>
    </w:p>
    <w:p w14:paraId="5B685E7A" w14:textId="77777777" w:rsidR="000B4686" w:rsidRPr="00B53977" w:rsidRDefault="000B4686" w:rsidP="000B4686">
      <w:pPr>
        <w:rPr>
          <w:rFonts w:ascii="Times New Roman" w:hAnsi="Times New Roman" w:cs="Times New Roman"/>
          <w:szCs w:val="21"/>
        </w:rPr>
      </w:pPr>
      <w:r w:rsidRPr="00B53977">
        <w:rPr>
          <w:rFonts w:ascii="Times New Roman" w:hAnsi="Times New Roman" w:cs="Times New Roman"/>
          <w:bCs/>
          <w:szCs w:val="21"/>
          <w:vertAlign w:val="superscript"/>
        </w:rPr>
        <w:t>*</w:t>
      </w:r>
      <w:r w:rsidRPr="00B53977">
        <w:rPr>
          <w:rFonts w:ascii="Times New Roman" w:hAnsi="Times New Roman" w:cs="Times New Roman"/>
          <w:bCs/>
          <w:szCs w:val="21"/>
        </w:rPr>
        <w:t xml:space="preserve"> </w:t>
      </w:r>
      <w:r>
        <w:rPr>
          <w:rFonts w:ascii="Times New Roman" w:hAnsi="Times New Roman" w:cs="Times New Roman"/>
          <w:bCs/>
          <w:szCs w:val="21"/>
        </w:rPr>
        <w:t xml:space="preserve">  </w:t>
      </w:r>
      <w:r w:rsidRPr="00B53977">
        <w:rPr>
          <w:rFonts w:ascii="Times New Roman" w:hAnsi="Times New Roman" w:cs="Times New Roman"/>
          <w:bCs/>
          <w:szCs w:val="21"/>
        </w:rPr>
        <w:t>Contributed equally</w:t>
      </w:r>
      <w:r>
        <w:rPr>
          <w:rFonts w:ascii="Times New Roman" w:hAnsi="Times New Roman" w:cs="Times New Roman"/>
          <w:bCs/>
          <w:szCs w:val="21"/>
        </w:rPr>
        <w:t>.</w:t>
      </w:r>
    </w:p>
    <w:bookmarkEnd w:id="0"/>
    <w:p w14:paraId="7E761214" w14:textId="77777777" w:rsidR="00F92DB9" w:rsidRPr="000B4686" w:rsidRDefault="00F92DB9">
      <w:pPr>
        <w:spacing w:line="400" w:lineRule="exact"/>
        <w:rPr>
          <w:rStyle w:val="fontstyle01"/>
          <w:rFonts w:ascii="Times New Roman" w:hAnsi="Times New Roman" w:cs="Times New Roman"/>
          <w:sz w:val="28"/>
          <w:szCs w:val="28"/>
        </w:rPr>
      </w:pPr>
    </w:p>
    <w:p w14:paraId="12A08174" w14:textId="77777777" w:rsidR="00F92DB9" w:rsidRPr="00AA01B7" w:rsidRDefault="00DA2564">
      <w:pPr>
        <w:spacing w:line="400" w:lineRule="exact"/>
        <w:rPr>
          <w:rFonts w:ascii="Times New Roman" w:hAnsi="Times New Roman" w:cs="Times New Roman"/>
          <w:b/>
          <w:sz w:val="24"/>
          <w:szCs w:val="24"/>
        </w:rPr>
      </w:pPr>
      <w:r w:rsidRPr="00AA01B7">
        <w:rPr>
          <w:rFonts w:ascii="Times New Roman" w:hAnsi="Times New Roman" w:cs="Times New Roman"/>
          <w:b/>
          <w:sz w:val="24"/>
          <w:szCs w:val="24"/>
        </w:rPr>
        <w:t>SUPPLEMENTAL METHODS</w:t>
      </w:r>
    </w:p>
    <w:p w14:paraId="3293001B" w14:textId="77777777" w:rsidR="00F92DB9" w:rsidRDefault="00DA2564">
      <w:pPr>
        <w:spacing w:line="276" w:lineRule="auto"/>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Cell culture and transfection</w:t>
      </w:r>
    </w:p>
    <w:p w14:paraId="2BB82540" w14:textId="17704426"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The human umbilical vein endothelial cells (HUVECs) were cultivated in ECs culture medium with 1% Penicillin/Streptomycin, 1% ECs growth supplement and 10% fetal bovine serum. Further, we constructed the GV358 vector carrying KLF2 cDNA, and co-transfected it with the lentiviral backbone plasmid into HEK293A cells to get the recombinant lentiviral vector Lv-KLF2. ECs were cultured overnight in a 6-well plate at a density of 1×10^6 cells/mL. Lentiviruses were diluted with complete medium containing HitransG P (GeneChem, China) and then added to ECs. After 12 hours of transfection at 37°C, we changed the medium with fresh virus-free medium.</w:t>
      </w:r>
      <w:r w:rsidR="00F44BDC">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Continuous cultivation for 72 hours, green fluorescence (GFP positive) was detected by fluorescence microscope (ix53, Olympus, Japan). Next, to remove negative cells, puromycin (5μg/ml) was added to the culture medium and the survival cells were KLF2-transfected HUVECs (KLF2- HUVECs). </w:t>
      </w:r>
    </w:p>
    <w:p w14:paraId="5279CD2F" w14:textId="77777777" w:rsidR="00F92DB9" w:rsidRDefault="00F92DB9">
      <w:pPr>
        <w:spacing w:line="276" w:lineRule="auto"/>
        <w:rPr>
          <w:rFonts w:ascii="Times New Roman" w:hAnsi="Times New Roman" w:cs="Times New Roman"/>
          <w:color w:val="000000" w:themeColor="text1"/>
          <w:szCs w:val="21"/>
        </w:rPr>
      </w:pPr>
    </w:p>
    <w:p w14:paraId="25C1621C" w14:textId="77777777" w:rsidR="00F92DB9" w:rsidRDefault="00DA2564">
      <w:pPr>
        <w:widowControl/>
        <w:spacing w:line="276" w:lineRule="auto"/>
        <w:jc w:val="left"/>
        <w:rPr>
          <w:rFonts w:ascii="Times New Roman" w:hAnsi="Times New Roman" w:cs="Times New Roman"/>
          <w:b/>
          <w:bCs/>
          <w:color w:val="000000"/>
          <w:szCs w:val="21"/>
        </w:rPr>
      </w:pPr>
      <w:r>
        <w:rPr>
          <w:rFonts w:ascii="Times New Roman" w:eastAsia="宋体" w:hAnsi="Times New Roman" w:cs="Times New Roman"/>
          <w:b/>
          <w:bCs/>
          <w:color w:val="000000"/>
          <w:kern w:val="0"/>
          <w:szCs w:val="21"/>
          <w:lang w:bidi="ar"/>
        </w:rPr>
        <w:t>Echocardiography</w:t>
      </w:r>
    </w:p>
    <w:p w14:paraId="06DDA471" w14:textId="77777777" w:rsidR="00F92DB9" w:rsidRDefault="00DA2564">
      <w:pPr>
        <w:widowControl/>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lastRenderedPageBreak/>
        <w:t>5 weeks after the first DOX injection, mice were anesthetized with 1.5%–2% isoflurane in 100% oxygen. Echocardiography (Vevo®2100 Imaging System, Visualsonics) was performed from parasternal two-dimensional long and short axes. The index of left ventricular end‐diastolic diameter (LVIDd) and left ventricular end‐systolic diameter (LVIDs) were recorded. Left ventricular ejection fraction (LVEF) and left ventricular fractional shortening (LVFS) were calculated as described previously. (LVEF[%] = [ (LVIDd</w:t>
      </w:r>
      <w:r>
        <w:rPr>
          <w:rFonts w:ascii="Times New Roman" w:eastAsia="宋体" w:hAnsi="Times New Roman" w:cs="Times New Roman"/>
          <w:color w:val="000000"/>
          <w:kern w:val="0"/>
          <w:szCs w:val="21"/>
          <w:vertAlign w:val="superscript"/>
          <w:lang w:bidi="ar"/>
        </w:rPr>
        <w:t>3</w:t>
      </w:r>
      <w:r>
        <w:rPr>
          <w:rFonts w:ascii="Times New Roman" w:eastAsia="宋体" w:hAnsi="Times New Roman" w:cs="Times New Roman"/>
          <w:color w:val="000000"/>
          <w:kern w:val="0"/>
          <w:szCs w:val="21"/>
          <w:lang w:bidi="ar"/>
        </w:rPr>
        <w:t xml:space="preserve"> - LVIDs</w:t>
      </w:r>
      <w:r>
        <w:rPr>
          <w:rFonts w:ascii="Times New Roman" w:eastAsia="宋体" w:hAnsi="Times New Roman" w:cs="Times New Roman"/>
          <w:color w:val="000000"/>
          <w:kern w:val="0"/>
          <w:szCs w:val="21"/>
          <w:vertAlign w:val="superscript"/>
          <w:lang w:bidi="ar"/>
        </w:rPr>
        <w:t xml:space="preserve">3 </w:t>
      </w:r>
      <w:r>
        <w:rPr>
          <w:rFonts w:ascii="Times New Roman" w:eastAsia="宋体" w:hAnsi="Times New Roman" w:cs="Times New Roman"/>
          <w:color w:val="000000"/>
          <w:kern w:val="0"/>
          <w:szCs w:val="21"/>
          <w:lang w:bidi="ar"/>
        </w:rPr>
        <w:t>)/LVIDd</w:t>
      </w:r>
      <w:r>
        <w:rPr>
          <w:rFonts w:ascii="Times New Roman" w:eastAsia="宋体" w:hAnsi="Times New Roman" w:cs="Times New Roman"/>
          <w:color w:val="000000"/>
          <w:kern w:val="0"/>
          <w:szCs w:val="21"/>
          <w:vertAlign w:val="superscript"/>
          <w:lang w:bidi="ar"/>
        </w:rPr>
        <w:t>3</w:t>
      </w:r>
      <w:r>
        <w:rPr>
          <w:rFonts w:ascii="Times New Roman" w:eastAsia="宋体" w:hAnsi="Times New Roman" w:cs="Times New Roman"/>
          <w:color w:val="000000"/>
          <w:kern w:val="0"/>
          <w:szCs w:val="21"/>
          <w:lang w:bidi="ar"/>
        </w:rPr>
        <w:t>] × 100</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 xml:space="preserve">LVFS (%) = [(LVIDd </w:t>
      </w:r>
      <w:r>
        <w:rPr>
          <w:rFonts w:ascii="Times New Roman" w:eastAsia="微软雅黑" w:hAnsi="Times New Roman" w:cs="Times New Roman"/>
          <w:color w:val="000000"/>
          <w:kern w:val="0"/>
          <w:szCs w:val="21"/>
          <w:lang w:bidi="ar"/>
        </w:rPr>
        <w:t>−</w:t>
      </w:r>
      <w:r>
        <w:rPr>
          <w:rFonts w:ascii="Times New Roman" w:eastAsia="宋体" w:hAnsi="Times New Roman" w:cs="Times New Roman"/>
          <w:color w:val="000000"/>
          <w:kern w:val="0"/>
          <w:szCs w:val="21"/>
          <w:lang w:bidi="ar"/>
        </w:rPr>
        <w:t xml:space="preserve"> LVIDs) / LVIDd] × 100</w:t>
      </w:r>
      <w:r>
        <w:rPr>
          <w:rFonts w:ascii="Times New Roman" w:eastAsia="宋体" w:hAnsi="Times New Roman" w:cs="Times New Roman"/>
          <w:color w:val="000000"/>
          <w:kern w:val="0"/>
          <w:szCs w:val="21"/>
          <w:lang w:bidi="ar"/>
        </w:rPr>
        <w:t>）</w:t>
      </w:r>
    </w:p>
    <w:p w14:paraId="7FFA3579" w14:textId="77777777" w:rsidR="00F92DB9" w:rsidRDefault="00F92DB9">
      <w:pPr>
        <w:widowControl/>
        <w:ind w:firstLineChars="100" w:firstLine="210"/>
        <w:jc w:val="left"/>
        <w:rPr>
          <w:rFonts w:ascii="Times New Roman" w:hAnsi="Times New Roman" w:cs="Times New Roman"/>
          <w:color w:val="000000"/>
          <w:szCs w:val="21"/>
        </w:rPr>
      </w:pPr>
    </w:p>
    <w:p w14:paraId="3CE26C87" w14:textId="77777777" w:rsidR="00F92DB9" w:rsidRDefault="00DA2564">
      <w:pPr>
        <w:widowControl/>
        <w:spacing w:line="276" w:lineRule="auto"/>
        <w:jc w:val="left"/>
        <w:rPr>
          <w:rFonts w:ascii="Times New Roman" w:hAnsi="Times New Roman" w:cs="Times New Roman"/>
          <w:b/>
          <w:bCs/>
          <w:color w:val="000000"/>
          <w:szCs w:val="21"/>
        </w:rPr>
      </w:pPr>
      <w:r>
        <w:rPr>
          <w:rFonts w:ascii="Times New Roman" w:eastAsia="宋体" w:hAnsi="Times New Roman" w:cs="Times New Roman"/>
          <w:b/>
          <w:bCs/>
          <w:color w:val="000000"/>
          <w:kern w:val="0"/>
          <w:szCs w:val="21"/>
          <w:lang w:bidi="ar"/>
        </w:rPr>
        <w:t>Histological analysis</w:t>
      </w:r>
    </w:p>
    <w:p w14:paraId="556A3D66" w14:textId="77777777" w:rsidR="00F92DB9" w:rsidRDefault="00DA2564">
      <w:pPr>
        <w:widowControl/>
        <w:jc w:val="left"/>
        <w:rPr>
          <w:rFonts w:ascii="Times New Roman" w:eastAsia="宋体" w:hAnsi="Times New Roman" w:cs="Times New Roman"/>
          <w:color w:val="000000"/>
          <w:kern w:val="0"/>
          <w:sz w:val="22"/>
          <w:lang w:bidi="ar"/>
        </w:rPr>
      </w:pPr>
      <w:r>
        <w:rPr>
          <w:rFonts w:ascii="Times New Roman" w:eastAsia="宋体" w:hAnsi="Times New Roman" w:cs="Times New Roman"/>
          <w:color w:val="000000"/>
          <w:kern w:val="0"/>
          <w:sz w:val="22"/>
          <w:lang w:bidi="ar"/>
        </w:rPr>
        <w:t xml:space="preserve">Histology of hearts was assessed </w:t>
      </w:r>
      <w:r>
        <w:rPr>
          <w:rFonts w:ascii="Times New Roman" w:eastAsia="宋体" w:hAnsi="Times New Roman" w:cs="Times New Roman" w:hint="eastAsia"/>
          <w:color w:val="000000"/>
          <w:kern w:val="0"/>
          <w:sz w:val="22"/>
          <w:lang w:bidi="ar"/>
        </w:rPr>
        <w:t>5 weeks after first doxorubicin injection</w:t>
      </w:r>
      <w:r>
        <w:rPr>
          <w:rFonts w:ascii="Times New Roman" w:eastAsia="宋体" w:hAnsi="Times New Roman" w:cs="Times New Roman"/>
          <w:color w:val="000000"/>
          <w:kern w:val="0"/>
          <w:sz w:val="22"/>
          <w:lang w:bidi="ar"/>
        </w:rPr>
        <w:t xml:space="preserve">. </w:t>
      </w:r>
      <w:r>
        <w:rPr>
          <w:rFonts w:ascii="Times New Roman" w:eastAsia="宋体" w:hAnsi="Times New Roman" w:cs="Times New Roman" w:hint="eastAsia"/>
          <w:color w:val="000000"/>
          <w:kern w:val="0"/>
          <w:sz w:val="22"/>
          <w:lang w:bidi="ar"/>
        </w:rPr>
        <w:t>We collected the h</w:t>
      </w:r>
      <w:r>
        <w:rPr>
          <w:rFonts w:ascii="Times New Roman" w:eastAsia="宋体" w:hAnsi="Times New Roman" w:cs="Times New Roman"/>
          <w:color w:val="000000"/>
          <w:kern w:val="0"/>
          <w:sz w:val="22"/>
          <w:lang w:bidi="ar"/>
        </w:rPr>
        <w:t xml:space="preserve">earts in diastole late term with intraventricular injection of 10% potassium chloride (KCl). </w:t>
      </w:r>
    </w:p>
    <w:p w14:paraId="67C26165" w14:textId="77777777" w:rsidR="00F92DB9" w:rsidRDefault="00DA2564">
      <w:pPr>
        <w:widowControl/>
        <w:spacing w:line="276" w:lineRule="auto"/>
        <w:jc w:val="left"/>
        <w:rPr>
          <w:rFonts w:ascii="Times New Roman" w:hAnsi="Times New Roman" w:cs="Times New Roman"/>
          <w:color w:val="000000"/>
          <w:szCs w:val="21"/>
        </w:rPr>
      </w:pPr>
      <w:r>
        <w:rPr>
          <w:rFonts w:ascii="Times New Roman" w:eastAsia="宋体" w:hAnsi="Times New Roman" w:cs="Times New Roman"/>
          <w:color w:val="000000"/>
          <w:kern w:val="0"/>
          <w:sz w:val="22"/>
          <w:lang w:bidi="ar"/>
        </w:rPr>
        <w:t>The heart was</w:t>
      </w:r>
      <w:r>
        <w:rPr>
          <w:rFonts w:ascii="Times New Roman" w:hAnsi="Times New Roman" w:cs="Times New Roman" w:hint="eastAsia"/>
          <w:sz w:val="22"/>
        </w:rPr>
        <w:t xml:space="preserve"> </w:t>
      </w:r>
      <w:r>
        <w:rPr>
          <w:rFonts w:ascii="Times New Roman" w:hAnsi="Times New Roman" w:cs="Times New Roman"/>
          <w:sz w:val="22"/>
        </w:rPr>
        <w:t>fixed with 4% phosphate-buﬀered formalin (pH 7.4)</w:t>
      </w:r>
      <w:r>
        <w:rPr>
          <w:rFonts w:ascii="Times New Roman" w:hAnsi="Times New Roman" w:cs="Times New Roman" w:hint="eastAsia"/>
          <w:sz w:val="22"/>
        </w:rPr>
        <w:t>.</w:t>
      </w:r>
      <w:r>
        <w:rPr>
          <w:rFonts w:ascii="Times New Roman" w:eastAsia="宋体" w:hAnsi="Times New Roman" w:cs="Times New Roman"/>
          <w:color w:val="000000"/>
          <w:kern w:val="0"/>
          <w:szCs w:val="21"/>
          <w:lang w:bidi="ar"/>
        </w:rPr>
        <w:t xml:space="preserve"> Then the tissues were dehydrated by gradient ethanol and set in paraffin which cut into 5‐μm sections. Hematoxylin-eosin (H.E.) was applied to analyze the global heart morphology</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 xml:space="preserve"> and Masson trichrome (MT) to identify cardiac fibrosis. Quantification of cardiac left ventricular area and fibrosis was calculated by ImageJ.</w:t>
      </w:r>
    </w:p>
    <w:p w14:paraId="271F5CC0" w14:textId="77777777" w:rsidR="00F92DB9" w:rsidRDefault="00F92DB9">
      <w:pPr>
        <w:widowControl/>
        <w:spacing w:line="276" w:lineRule="auto"/>
        <w:jc w:val="left"/>
        <w:rPr>
          <w:rFonts w:ascii="Times New Roman" w:hAnsi="Times New Roman" w:cs="Times New Roman"/>
          <w:color w:val="000000"/>
          <w:szCs w:val="21"/>
        </w:rPr>
      </w:pPr>
    </w:p>
    <w:p w14:paraId="7935EB4B" w14:textId="77777777" w:rsidR="00F92DB9" w:rsidRDefault="00DA2564">
      <w:pPr>
        <w:widowControl/>
        <w:spacing w:line="276" w:lineRule="auto"/>
        <w:jc w:val="left"/>
        <w:rPr>
          <w:rFonts w:ascii="Times New Roman" w:hAnsi="Times New Roman" w:cs="Times New Roman"/>
          <w:color w:val="000000"/>
          <w:szCs w:val="21"/>
        </w:rPr>
      </w:pPr>
      <w:r>
        <w:rPr>
          <w:rFonts w:ascii="Times New Roman" w:eastAsia="宋体" w:hAnsi="Times New Roman" w:cs="Times New Roman"/>
          <w:b/>
          <w:bCs/>
          <w:color w:val="000000"/>
          <w:kern w:val="0"/>
          <w:szCs w:val="21"/>
          <w:lang w:bidi="ar"/>
        </w:rPr>
        <w:t>Flow cytometry analysis</w:t>
      </w:r>
    </w:p>
    <w:p w14:paraId="24908945" w14:textId="77777777" w:rsidR="00F92DB9" w:rsidRDefault="00DA2564">
      <w:pPr>
        <w:widowControl/>
        <w:spacing w:line="276" w:lineRule="auto"/>
        <w:jc w:val="left"/>
        <w:rPr>
          <w:rFonts w:ascii="Times New Roman" w:hAnsi="Times New Roman" w:cs="Times New Roman"/>
          <w:color w:val="000000"/>
          <w:szCs w:val="21"/>
        </w:rPr>
      </w:pPr>
      <w:r>
        <w:rPr>
          <w:rFonts w:ascii="Times New Roman" w:eastAsia="宋体" w:hAnsi="Times New Roman" w:cs="Times New Roman"/>
          <w:color w:val="000000"/>
          <w:kern w:val="0"/>
          <w:szCs w:val="21"/>
          <w:lang w:bidi="ar"/>
        </w:rPr>
        <w:t>Isolated cell suspensions from heart, spleen, bone marrow and peripheral blood were obtained by gentle MACS™ Dissociator (Miltenyi Biotec). Then the samples were incubated with CD11b‐FITC (BD Bioscience) and Ly6C-PE (BD Bioscience) for 30 minutes at 4°C. Data from FACS Aria flow cytometer (BD Bioscience) were analyzed with FlowJo software. We used CD11b and Ly6C to describe monocyte phenotype subset and used percentage to evaluate Ly6C</w:t>
      </w:r>
      <w:r>
        <w:rPr>
          <w:rFonts w:ascii="Times New Roman" w:eastAsia="宋体" w:hAnsi="Times New Roman" w:cs="Times New Roman"/>
          <w:color w:val="000000"/>
          <w:kern w:val="0"/>
          <w:szCs w:val="21"/>
          <w:vertAlign w:val="superscript"/>
          <w:lang w:bidi="ar"/>
        </w:rPr>
        <w:t>high</w:t>
      </w:r>
      <w:r>
        <w:rPr>
          <w:rFonts w:ascii="Times New Roman" w:eastAsia="宋体" w:hAnsi="Times New Roman" w:cs="Times New Roman"/>
          <w:color w:val="000000"/>
          <w:kern w:val="0"/>
          <w:szCs w:val="21"/>
          <w:lang w:bidi="ar"/>
        </w:rPr>
        <w:t xml:space="preserve"> and Ly6C</w:t>
      </w:r>
      <w:r>
        <w:rPr>
          <w:rFonts w:ascii="Times New Roman" w:eastAsia="宋体" w:hAnsi="Times New Roman" w:cs="Times New Roman"/>
          <w:color w:val="000000"/>
          <w:kern w:val="0"/>
          <w:szCs w:val="21"/>
          <w:vertAlign w:val="superscript"/>
          <w:lang w:bidi="ar"/>
        </w:rPr>
        <w:t xml:space="preserve">low </w:t>
      </w:r>
      <w:r>
        <w:rPr>
          <w:rFonts w:ascii="Times New Roman" w:eastAsia="宋体" w:hAnsi="Times New Roman" w:cs="Times New Roman"/>
          <w:color w:val="000000"/>
          <w:kern w:val="0"/>
          <w:szCs w:val="21"/>
          <w:lang w:bidi="ar"/>
        </w:rPr>
        <w:t>monocyte/macrophages (Mo/Mø). For example, within heart samples, percentage was the Ly6C</w:t>
      </w:r>
      <w:r>
        <w:rPr>
          <w:rFonts w:ascii="Times New Roman" w:eastAsia="宋体" w:hAnsi="Times New Roman" w:cs="Times New Roman"/>
          <w:color w:val="000000"/>
          <w:kern w:val="0"/>
          <w:szCs w:val="21"/>
          <w:vertAlign w:val="superscript"/>
          <w:lang w:bidi="ar"/>
        </w:rPr>
        <w:t>high</w:t>
      </w:r>
      <w:r>
        <w:rPr>
          <w:rFonts w:ascii="Times New Roman" w:eastAsia="宋体" w:hAnsi="Times New Roman" w:cs="Times New Roman"/>
          <w:color w:val="000000"/>
          <w:kern w:val="0"/>
          <w:szCs w:val="21"/>
          <w:lang w:bidi="ar"/>
        </w:rPr>
        <w:t xml:space="preserve"> Mo/Mø numbers to all living cardiac cells numbers, and within peripheral blood samples, percentage was the Ly6C</w:t>
      </w:r>
      <w:r>
        <w:rPr>
          <w:rFonts w:ascii="Times New Roman" w:eastAsia="宋体" w:hAnsi="Times New Roman" w:cs="Times New Roman"/>
          <w:color w:val="000000"/>
          <w:kern w:val="0"/>
          <w:szCs w:val="21"/>
          <w:vertAlign w:val="superscript"/>
          <w:lang w:bidi="ar"/>
        </w:rPr>
        <w:t>high</w:t>
      </w:r>
      <w:r>
        <w:rPr>
          <w:rFonts w:ascii="Times New Roman" w:eastAsia="宋体" w:hAnsi="Times New Roman" w:cs="Times New Roman"/>
          <w:color w:val="000000"/>
          <w:kern w:val="0"/>
          <w:szCs w:val="21"/>
          <w:lang w:bidi="ar"/>
        </w:rPr>
        <w:t xml:space="preserve"> monocytes numbers to all blood living cells numbers. </w:t>
      </w:r>
    </w:p>
    <w:p w14:paraId="57EEDAA1" w14:textId="77777777" w:rsidR="00F92DB9" w:rsidRDefault="00F92DB9">
      <w:pPr>
        <w:widowControl/>
        <w:jc w:val="left"/>
        <w:rPr>
          <w:rFonts w:ascii="Times New Roman" w:hAnsi="Times New Roman" w:cs="Times New Roman"/>
          <w:color w:val="000000"/>
          <w:szCs w:val="21"/>
        </w:rPr>
      </w:pPr>
    </w:p>
    <w:p w14:paraId="01464608" w14:textId="77777777" w:rsidR="00F92DB9" w:rsidRDefault="00DA2564">
      <w:pPr>
        <w:widowControl/>
        <w:spacing w:line="276" w:lineRule="auto"/>
        <w:jc w:val="left"/>
        <w:rPr>
          <w:rFonts w:ascii="Times New Roman" w:hAnsi="Times New Roman" w:cs="Times New Roman"/>
          <w:b/>
          <w:bCs/>
          <w:color w:val="000000"/>
          <w:szCs w:val="21"/>
        </w:rPr>
      </w:pPr>
      <w:r>
        <w:rPr>
          <w:rFonts w:ascii="Times New Roman" w:eastAsia="宋体" w:hAnsi="Times New Roman" w:cs="Times New Roman"/>
          <w:b/>
          <w:bCs/>
          <w:color w:val="000000"/>
          <w:kern w:val="0"/>
          <w:szCs w:val="21"/>
          <w:lang w:bidi="ar"/>
        </w:rPr>
        <w:t>RNA extraction and reverse‐transcription quantitative polymerase chain reaction</w:t>
      </w:r>
    </w:p>
    <w:p w14:paraId="7FF957D3" w14:textId="77777777" w:rsidR="00F92DB9" w:rsidRDefault="00DA2564">
      <w:pPr>
        <w:widowControl/>
        <w:spacing w:line="276" w:lineRule="auto"/>
        <w:jc w:val="left"/>
        <w:rPr>
          <w:rFonts w:ascii="Times New Roman" w:hAnsi="Times New Roman" w:cs="Times New Roman"/>
          <w:b/>
          <w:bCs/>
          <w:color w:val="000000"/>
          <w:szCs w:val="21"/>
        </w:rPr>
      </w:pPr>
      <w:r>
        <w:rPr>
          <w:rFonts w:ascii="Times New Roman" w:eastAsia="宋体" w:hAnsi="Times New Roman" w:cs="Times New Roman"/>
          <w:b/>
          <w:bCs/>
          <w:color w:val="000000"/>
          <w:kern w:val="0"/>
          <w:szCs w:val="21"/>
          <w:lang w:bidi="ar"/>
        </w:rPr>
        <w:t>(RT-qPCR)</w:t>
      </w:r>
    </w:p>
    <w:p w14:paraId="1BAB3F54" w14:textId="77777777" w:rsidR="00F92DB9" w:rsidRDefault="00DA2564">
      <w:pPr>
        <w:widowControl/>
        <w:spacing w:line="276" w:lineRule="auto"/>
        <w:jc w:val="left"/>
        <w:rPr>
          <w:rStyle w:val="fontstyle01"/>
          <w:rFonts w:ascii="Times New Roman" w:hAnsi="Times New Roman" w:cs="Times New Roman"/>
          <w:sz w:val="21"/>
          <w:szCs w:val="21"/>
        </w:rPr>
      </w:pPr>
      <w:r>
        <w:rPr>
          <w:rFonts w:ascii="Times New Roman" w:eastAsia="宋体" w:hAnsi="Times New Roman" w:cs="Times New Roman"/>
          <w:color w:val="000000"/>
          <w:kern w:val="0"/>
          <w:szCs w:val="21"/>
          <w:lang w:bidi="ar"/>
        </w:rPr>
        <w:t xml:space="preserve">Total RNA was extracted from heart tissue following Trizol (Invitrogen) according to the manufacturer’s instructions. Then cDNA was synthesized by the </w:t>
      </w:r>
      <w:r>
        <w:rPr>
          <w:rFonts w:ascii="Times New Roman" w:eastAsia="宋体" w:hAnsi="Times New Roman" w:cs="Times New Roman"/>
          <w:color w:val="000000"/>
          <w:kern w:val="0"/>
          <w:szCs w:val="21"/>
          <w:shd w:val="clear" w:color="auto" w:fill="FFFFFF"/>
          <w:lang w:bidi="ar"/>
        </w:rPr>
        <w:t>HiScript III RT SuperMix for qPCR (+gDNA wiper)</w:t>
      </w:r>
      <w:r>
        <w:rPr>
          <w:rFonts w:ascii="Times New Roman" w:eastAsia="宋体" w:hAnsi="Times New Roman" w:cs="Times New Roman"/>
          <w:color w:val="000000"/>
          <w:kern w:val="0"/>
          <w:szCs w:val="21"/>
          <w:lang w:bidi="ar"/>
        </w:rPr>
        <w:t xml:space="preserve"> (Vazyme) and qPCR was carried out by ChamQ SYBR qPCR Master Mix (High ROX Premixed) (Vazyme). We used 2−ΔCt to calculate relative gene expression level and data were normalized to GAPDH expression. All the primers involved were as follows:</w:t>
      </w:r>
    </w:p>
    <w:tbl>
      <w:tblPr>
        <w:tblStyle w:val="a9"/>
        <w:tblW w:w="8330" w:type="dxa"/>
        <w:tblLayout w:type="fixed"/>
        <w:tblLook w:val="04A0" w:firstRow="1" w:lastRow="0" w:firstColumn="1" w:lastColumn="0" w:noHBand="0" w:noVBand="1"/>
      </w:tblPr>
      <w:tblGrid>
        <w:gridCol w:w="2093"/>
        <w:gridCol w:w="6237"/>
      </w:tblGrid>
      <w:tr w:rsidR="00F92DB9" w14:paraId="605806D7" w14:textId="77777777">
        <w:trPr>
          <w:trHeight w:val="190"/>
        </w:trPr>
        <w:tc>
          <w:tcPr>
            <w:tcW w:w="2093" w:type="dxa"/>
          </w:tcPr>
          <w:p w14:paraId="13A93A55"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Primer</w:t>
            </w:r>
          </w:p>
        </w:tc>
        <w:tc>
          <w:tcPr>
            <w:tcW w:w="6237" w:type="dxa"/>
          </w:tcPr>
          <w:p w14:paraId="5E2F86EC"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sequence</w:t>
            </w:r>
          </w:p>
        </w:tc>
      </w:tr>
      <w:tr w:rsidR="00F92DB9" w14:paraId="37C3A980" w14:textId="77777777">
        <w:trPr>
          <w:trHeight w:val="383"/>
        </w:trPr>
        <w:tc>
          <w:tcPr>
            <w:tcW w:w="2093" w:type="dxa"/>
          </w:tcPr>
          <w:p w14:paraId="2C0B50A8"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GAPDH forward</w:t>
            </w:r>
          </w:p>
        </w:tc>
        <w:tc>
          <w:tcPr>
            <w:tcW w:w="6237" w:type="dxa"/>
          </w:tcPr>
          <w:p w14:paraId="4921FBBF"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TGTGTCCGTCGTGGATCTGA</w:t>
            </w:r>
          </w:p>
        </w:tc>
      </w:tr>
      <w:tr w:rsidR="00F92DB9" w14:paraId="604C282E" w14:textId="77777777">
        <w:trPr>
          <w:trHeight w:val="383"/>
        </w:trPr>
        <w:tc>
          <w:tcPr>
            <w:tcW w:w="2093" w:type="dxa"/>
          </w:tcPr>
          <w:p w14:paraId="684A688B"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GAPDH reverse</w:t>
            </w:r>
          </w:p>
        </w:tc>
        <w:tc>
          <w:tcPr>
            <w:tcW w:w="6237" w:type="dxa"/>
          </w:tcPr>
          <w:p w14:paraId="09997C8F"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TTGCTGTTGAAGTCGCAGGAG</w:t>
            </w:r>
          </w:p>
        </w:tc>
      </w:tr>
      <w:tr w:rsidR="00F92DB9" w14:paraId="61205889" w14:textId="77777777">
        <w:trPr>
          <w:trHeight w:val="383"/>
        </w:trPr>
        <w:tc>
          <w:tcPr>
            <w:tcW w:w="2093" w:type="dxa"/>
          </w:tcPr>
          <w:p w14:paraId="64AE4952"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TNFα forward</w:t>
            </w:r>
          </w:p>
        </w:tc>
        <w:tc>
          <w:tcPr>
            <w:tcW w:w="6237" w:type="dxa"/>
          </w:tcPr>
          <w:p w14:paraId="0D3FBC1D"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CCCCAAAGGGATGAGAAGTTC</w:t>
            </w:r>
          </w:p>
        </w:tc>
      </w:tr>
      <w:tr w:rsidR="00F92DB9" w14:paraId="46207D14" w14:textId="77777777">
        <w:trPr>
          <w:trHeight w:val="383"/>
        </w:trPr>
        <w:tc>
          <w:tcPr>
            <w:tcW w:w="2093" w:type="dxa"/>
          </w:tcPr>
          <w:p w14:paraId="30F15BDC"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TNFα reverse</w:t>
            </w:r>
          </w:p>
        </w:tc>
        <w:tc>
          <w:tcPr>
            <w:tcW w:w="6237" w:type="dxa"/>
          </w:tcPr>
          <w:p w14:paraId="365DC377"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GCTTGTCACTCGAATTTTGAGAA</w:t>
            </w:r>
          </w:p>
        </w:tc>
      </w:tr>
      <w:tr w:rsidR="00F92DB9" w14:paraId="6A9E519E" w14:textId="77777777">
        <w:trPr>
          <w:trHeight w:val="190"/>
        </w:trPr>
        <w:tc>
          <w:tcPr>
            <w:tcW w:w="2093" w:type="dxa"/>
          </w:tcPr>
          <w:p w14:paraId="676B41BA"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IL-1β forward</w:t>
            </w:r>
          </w:p>
        </w:tc>
        <w:tc>
          <w:tcPr>
            <w:tcW w:w="6237" w:type="dxa"/>
          </w:tcPr>
          <w:p w14:paraId="18C57821"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TGAAGTTGACGGACCCCAAA</w:t>
            </w:r>
          </w:p>
        </w:tc>
      </w:tr>
      <w:tr w:rsidR="00F92DB9" w14:paraId="3F8EAD78" w14:textId="77777777">
        <w:trPr>
          <w:trHeight w:val="190"/>
        </w:trPr>
        <w:tc>
          <w:tcPr>
            <w:tcW w:w="2093" w:type="dxa"/>
          </w:tcPr>
          <w:p w14:paraId="56AE0D1D"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IL-1β reverse</w:t>
            </w:r>
          </w:p>
        </w:tc>
        <w:tc>
          <w:tcPr>
            <w:tcW w:w="6237" w:type="dxa"/>
          </w:tcPr>
          <w:p w14:paraId="6E39EEE5"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TGATGTGCTGCTGTGAGATT</w:t>
            </w:r>
          </w:p>
        </w:tc>
      </w:tr>
      <w:tr w:rsidR="00F92DB9" w14:paraId="2D1F0C4F" w14:textId="77777777">
        <w:trPr>
          <w:trHeight w:val="379"/>
        </w:trPr>
        <w:tc>
          <w:tcPr>
            <w:tcW w:w="2093" w:type="dxa"/>
          </w:tcPr>
          <w:p w14:paraId="5FA1AC2F"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TGFβ1 forward</w:t>
            </w:r>
          </w:p>
        </w:tc>
        <w:tc>
          <w:tcPr>
            <w:tcW w:w="6237" w:type="dxa"/>
          </w:tcPr>
          <w:p w14:paraId="58576DE0"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GAAGGACCTGGGTTGGAAGTGGATC</w:t>
            </w:r>
          </w:p>
        </w:tc>
      </w:tr>
      <w:tr w:rsidR="00F92DB9" w14:paraId="649A1E92" w14:textId="77777777">
        <w:trPr>
          <w:trHeight w:val="379"/>
        </w:trPr>
        <w:tc>
          <w:tcPr>
            <w:tcW w:w="2093" w:type="dxa"/>
          </w:tcPr>
          <w:p w14:paraId="1B27F5B0"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TGFβ1 reverse</w:t>
            </w:r>
          </w:p>
        </w:tc>
        <w:tc>
          <w:tcPr>
            <w:tcW w:w="6237" w:type="dxa"/>
          </w:tcPr>
          <w:p w14:paraId="6709233F"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TGTGTTGGTTGTAGAGGGCAAGGAC</w:t>
            </w:r>
          </w:p>
        </w:tc>
      </w:tr>
      <w:tr w:rsidR="00F92DB9" w14:paraId="389B324C" w14:textId="77777777">
        <w:trPr>
          <w:trHeight w:val="383"/>
        </w:trPr>
        <w:tc>
          <w:tcPr>
            <w:tcW w:w="2093" w:type="dxa"/>
          </w:tcPr>
          <w:p w14:paraId="0793BC75"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IL-10 forward</w:t>
            </w:r>
          </w:p>
        </w:tc>
        <w:tc>
          <w:tcPr>
            <w:tcW w:w="6237" w:type="dxa"/>
          </w:tcPr>
          <w:p w14:paraId="49B179D1"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GTTGCCAAGCCTTATCGGGAA</w:t>
            </w:r>
          </w:p>
        </w:tc>
      </w:tr>
      <w:tr w:rsidR="00F92DB9" w14:paraId="581B4EE0" w14:textId="77777777">
        <w:trPr>
          <w:trHeight w:val="383"/>
        </w:trPr>
        <w:tc>
          <w:tcPr>
            <w:tcW w:w="2093" w:type="dxa"/>
          </w:tcPr>
          <w:p w14:paraId="34E5729D"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IL-10 reverse</w:t>
            </w:r>
          </w:p>
        </w:tc>
        <w:tc>
          <w:tcPr>
            <w:tcW w:w="6237" w:type="dxa"/>
          </w:tcPr>
          <w:p w14:paraId="616AC52E" w14:textId="77777777" w:rsidR="00F92DB9" w:rsidRDefault="00DA2564">
            <w:pPr>
              <w:autoSpaceDE w:val="0"/>
              <w:autoSpaceDN w:val="0"/>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CCAGGGAATTCAAATGCTCCT</w:t>
            </w:r>
          </w:p>
        </w:tc>
      </w:tr>
    </w:tbl>
    <w:p w14:paraId="2AADC70F" w14:textId="77777777" w:rsidR="00F92DB9" w:rsidRDefault="00F92DB9">
      <w:pPr>
        <w:spacing w:line="276" w:lineRule="auto"/>
        <w:rPr>
          <w:rFonts w:ascii="Times New Roman" w:hAnsi="Times New Roman" w:cs="Times New Roman"/>
          <w:b/>
          <w:bCs/>
          <w:color w:val="000000" w:themeColor="text1"/>
          <w:szCs w:val="21"/>
        </w:rPr>
      </w:pPr>
    </w:p>
    <w:p w14:paraId="67BA6290"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b/>
          <w:bCs/>
          <w:color w:val="000000" w:themeColor="text1"/>
          <w:szCs w:val="21"/>
        </w:rPr>
        <w:t>Western blot</w:t>
      </w:r>
    </w:p>
    <w:p w14:paraId="74641F87" w14:textId="77777777" w:rsidR="00F92DB9" w:rsidRDefault="00DA2564">
      <w:pPr>
        <w:spacing w:line="276"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The total protein was extracted from bone marrow tissue and KLF2-EVs. Samples were lysed in cold lysis buffer with protease inhibitor (KEYGEN BIOTECH). 30µg of each protein sample was separated by SDS-PAGE gel (10%) and then transferred to PVDF membrane (Millipore, Bedford, MA, USA). After blocking with 5% bovine serum albumin, the blots were probed with a primary antibody (1:1000) followed by a horseradish peroxidase-conjugated secondary antibody (1:5000). The following primary antibodies were used: CCR2 (Abcam, ab203128), GAPDH (MultiSciences, ab011), CD9 (Abcam</w:t>
      </w:r>
      <w:r>
        <w:rPr>
          <w:rFonts w:ascii="Times New Roman" w:eastAsia="等线" w:hAnsi="Times New Roman" w:cs="Times New Roman"/>
          <w:bCs/>
          <w:color w:val="000000" w:themeColor="text1"/>
          <w:szCs w:val="21"/>
        </w:rPr>
        <w:t>, ab92726</w:t>
      </w:r>
      <w:r>
        <w:rPr>
          <w:rFonts w:ascii="Times New Roman" w:hAnsi="Times New Roman" w:cs="Times New Roman"/>
          <w:color w:val="000000" w:themeColor="text1"/>
          <w:szCs w:val="21"/>
        </w:rPr>
        <w:t>), CD63 (</w:t>
      </w:r>
      <w:r>
        <w:rPr>
          <w:rFonts w:ascii="Times New Roman" w:eastAsia="等线" w:hAnsi="Times New Roman" w:cs="Times New Roman"/>
          <w:bCs/>
          <w:color w:val="000000" w:themeColor="text1"/>
          <w:szCs w:val="21"/>
        </w:rPr>
        <w:t>Abclonal, A5271</w:t>
      </w:r>
      <w:r>
        <w:rPr>
          <w:rFonts w:ascii="Times New Roman" w:hAnsi="Times New Roman" w:cs="Times New Roman"/>
          <w:color w:val="000000" w:themeColor="text1"/>
          <w:szCs w:val="21"/>
        </w:rPr>
        <w:t xml:space="preserve">), </w:t>
      </w:r>
      <w:r>
        <w:rPr>
          <w:rFonts w:ascii="Times New Roman" w:eastAsia="等线" w:hAnsi="Times New Roman" w:cs="Times New Roman"/>
          <w:bCs/>
          <w:color w:val="000000" w:themeColor="text1"/>
          <w:szCs w:val="21"/>
        </w:rPr>
        <w:t xml:space="preserve">TSG101 (Proteintech, 28283-1-AP), </w:t>
      </w:r>
      <w:r>
        <w:rPr>
          <w:rFonts w:ascii="Times New Roman" w:eastAsia="等线" w:hAnsi="Times New Roman" w:cs="Times New Roman"/>
          <w:color w:val="000000" w:themeColor="text1"/>
          <w:szCs w:val="21"/>
        </w:rPr>
        <w:t xml:space="preserve">Alix (Abcam, </w:t>
      </w:r>
      <w:r>
        <w:rPr>
          <w:rFonts w:ascii="Times New Roman" w:eastAsia="等线" w:hAnsi="Times New Roman" w:cs="Times New Roman"/>
          <w:bCs/>
          <w:color w:val="000000" w:themeColor="text1"/>
          <w:szCs w:val="21"/>
        </w:rPr>
        <w:t>ab117600).</w:t>
      </w:r>
      <w:r>
        <w:rPr>
          <w:rFonts w:ascii="Times New Roman" w:hAnsi="Times New Roman" w:cs="Times New Roman"/>
          <w:color w:val="000000" w:themeColor="text1"/>
          <w:szCs w:val="21"/>
        </w:rPr>
        <w:t xml:space="preserve"> The secondary antibody used were </w:t>
      </w:r>
      <w:r>
        <w:rPr>
          <w:rFonts w:ascii="Times New Roman" w:eastAsia="等线" w:hAnsi="Times New Roman" w:cs="Times New Roman"/>
          <w:bCs/>
          <w:color w:val="000000" w:themeColor="text1"/>
          <w:szCs w:val="21"/>
        </w:rPr>
        <w:t>HRP-labeled Goat Anti-rabbit IgG(H+L) (Beyotime, A0208) and HRP-labeled Goat Anti-mouse IgG(H+L) (Beyotime, A0216).</w:t>
      </w:r>
      <w:r>
        <w:rPr>
          <w:rFonts w:ascii="Times New Roman" w:hAnsi="Times New Roman" w:cs="Times New Roman"/>
          <w:color w:val="000000" w:themeColor="text1"/>
          <w:szCs w:val="21"/>
        </w:rPr>
        <w:t xml:space="preserve"> Enhanced chemiluminescence (ECL, thermofisher scientific) was used to detect the protein levels on the blots.</w:t>
      </w:r>
    </w:p>
    <w:p w14:paraId="401A697E" w14:textId="77777777" w:rsidR="00F92DB9" w:rsidRDefault="00F92DB9">
      <w:pPr>
        <w:spacing w:line="360" w:lineRule="auto"/>
        <w:rPr>
          <w:rStyle w:val="fontstyle01"/>
          <w:rFonts w:ascii="Times New Roman" w:hAnsi="Times New Roman" w:cs="Times New Roman"/>
          <w:sz w:val="21"/>
          <w:szCs w:val="21"/>
        </w:rPr>
      </w:pPr>
    </w:p>
    <w:p w14:paraId="1639F673" w14:textId="164D8A41" w:rsidR="00F92DB9" w:rsidRPr="00AA01B7" w:rsidRDefault="00DA2564">
      <w:pPr>
        <w:spacing w:line="360" w:lineRule="auto"/>
        <w:rPr>
          <w:rStyle w:val="fontstyle01"/>
          <w:rFonts w:ascii="Times New Roman" w:hAnsi="Times New Roman" w:cs="Times New Roman"/>
          <w:sz w:val="24"/>
          <w:szCs w:val="24"/>
        </w:rPr>
      </w:pPr>
      <w:r w:rsidRPr="00AA01B7">
        <w:rPr>
          <w:rStyle w:val="fontstyle01"/>
          <w:rFonts w:ascii="Times New Roman" w:hAnsi="Times New Roman" w:cs="Times New Roman"/>
          <w:sz w:val="24"/>
          <w:szCs w:val="24"/>
        </w:rPr>
        <w:t>SUPPLEMENTAL TABLES</w:t>
      </w:r>
    </w:p>
    <w:p w14:paraId="48B05053" w14:textId="77777777" w:rsidR="00F92DB9" w:rsidRDefault="00DA256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Cs w:val="21"/>
        </w:rPr>
        <w:t>Supplemental</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 xml:space="preserve">Table 1 </w:t>
      </w:r>
      <w:r>
        <w:rPr>
          <w:rFonts w:ascii="Times New Roman" w:hAnsi="Times New Roman" w:cs="Times New Roman" w:hint="eastAsia"/>
          <w:color w:val="000000" w:themeColor="text1"/>
          <w:szCs w:val="21"/>
        </w:rPr>
        <w:t>E</w:t>
      </w:r>
      <w:r>
        <w:rPr>
          <w:rFonts w:ascii="Times New Roman" w:hAnsi="Times New Roman" w:cs="Times New Roman"/>
          <w:color w:val="000000" w:themeColor="text1"/>
          <w:szCs w:val="21"/>
        </w:rPr>
        <w:t xml:space="preserve">chocardiographic parameters after </w:t>
      </w:r>
      <w:r>
        <w:rPr>
          <w:rFonts w:ascii="Times New Roman" w:hAnsi="Times New Roman" w:cs="Times New Roman" w:hint="eastAsia"/>
          <w:color w:val="000000" w:themeColor="text1"/>
          <w:szCs w:val="21"/>
        </w:rPr>
        <w:t>KLF2-EVs</w:t>
      </w:r>
      <w:r>
        <w:rPr>
          <w:rFonts w:ascii="Times New Roman" w:hAnsi="Times New Roman" w:cs="Times New Roman"/>
          <w:color w:val="000000" w:themeColor="text1"/>
          <w:szCs w:val="21"/>
        </w:rPr>
        <w:t xml:space="preserve"> treatment</w:t>
      </w:r>
    </w:p>
    <w:tbl>
      <w:tblPr>
        <w:tblW w:w="8684" w:type="dxa"/>
        <w:tblLook w:val="04A0" w:firstRow="1" w:lastRow="0" w:firstColumn="1" w:lastColumn="0" w:noHBand="0" w:noVBand="1"/>
      </w:tblPr>
      <w:tblGrid>
        <w:gridCol w:w="1951"/>
        <w:gridCol w:w="2268"/>
        <w:gridCol w:w="2126"/>
        <w:gridCol w:w="2339"/>
      </w:tblGrid>
      <w:tr w:rsidR="00F92DB9" w14:paraId="07940005" w14:textId="77777777">
        <w:trPr>
          <w:trHeight w:val="554"/>
        </w:trPr>
        <w:tc>
          <w:tcPr>
            <w:tcW w:w="1951" w:type="dxa"/>
            <w:tcBorders>
              <w:top w:val="single" w:sz="12" w:space="0" w:color="ED7D31" w:themeColor="accent2"/>
              <w:bottom w:val="dotted" w:sz="12" w:space="0" w:color="ED7D31" w:themeColor="accent2"/>
            </w:tcBorders>
            <w:shd w:val="clear" w:color="auto" w:fill="auto"/>
          </w:tcPr>
          <w:p w14:paraId="2F0662FC" w14:textId="77777777" w:rsidR="00F92DB9" w:rsidRDefault="00F92DB9">
            <w:pPr>
              <w:spacing w:line="276" w:lineRule="auto"/>
              <w:rPr>
                <w:rFonts w:ascii="Times New Roman" w:hAnsi="Times New Roman" w:cs="Times New Roman"/>
                <w:szCs w:val="21"/>
              </w:rPr>
            </w:pPr>
          </w:p>
        </w:tc>
        <w:tc>
          <w:tcPr>
            <w:tcW w:w="2268" w:type="dxa"/>
            <w:tcBorders>
              <w:top w:val="single" w:sz="12" w:space="0" w:color="ED7D31" w:themeColor="accent2"/>
              <w:bottom w:val="dotted" w:sz="12" w:space="0" w:color="ED7D31" w:themeColor="accent2"/>
            </w:tcBorders>
            <w:shd w:val="clear" w:color="auto" w:fill="auto"/>
          </w:tcPr>
          <w:p w14:paraId="2310276E"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Control</w:t>
            </w:r>
          </w:p>
          <w:p w14:paraId="3DC55E2F"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(n=8)</w:t>
            </w:r>
          </w:p>
        </w:tc>
        <w:tc>
          <w:tcPr>
            <w:tcW w:w="2126" w:type="dxa"/>
            <w:tcBorders>
              <w:top w:val="single" w:sz="12" w:space="0" w:color="ED7D31" w:themeColor="accent2"/>
              <w:bottom w:val="dotted" w:sz="12" w:space="0" w:color="ED7D31" w:themeColor="accent2"/>
            </w:tcBorders>
            <w:shd w:val="clear" w:color="auto" w:fill="auto"/>
          </w:tcPr>
          <w:p w14:paraId="57BB05E4"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DCM+PBS</w:t>
            </w:r>
          </w:p>
          <w:p w14:paraId="3CDDED58"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(n=9)</w:t>
            </w:r>
          </w:p>
        </w:tc>
        <w:tc>
          <w:tcPr>
            <w:tcW w:w="2339" w:type="dxa"/>
            <w:tcBorders>
              <w:top w:val="single" w:sz="12" w:space="0" w:color="ED7D31" w:themeColor="accent2"/>
              <w:bottom w:val="dotted" w:sz="12" w:space="0" w:color="ED7D31" w:themeColor="accent2"/>
            </w:tcBorders>
            <w:shd w:val="clear" w:color="auto" w:fill="auto"/>
          </w:tcPr>
          <w:p w14:paraId="28E729ED"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DCM+KLF2- EXO</w:t>
            </w:r>
          </w:p>
          <w:p w14:paraId="47404496"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 xml:space="preserve"> (n=9)</w:t>
            </w:r>
          </w:p>
        </w:tc>
      </w:tr>
      <w:tr w:rsidR="00F92DB9" w14:paraId="71F51514" w14:textId="77777777">
        <w:trPr>
          <w:trHeight w:val="404"/>
        </w:trPr>
        <w:tc>
          <w:tcPr>
            <w:tcW w:w="1951" w:type="dxa"/>
            <w:tcBorders>
              <w:top w:val="dotted" w:sz="12" w:space="0" w:color="ED7D31" w:themeColor="accent2"/>
            </w:tcBorders>
            <w:shd w:val="clear" w:color="auto" w:fill="auto"/>
          </w:tcPr>
          <w:p w14:paraId="53D164E8"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szCs w:val="21"/>
              </w:rPr>
              <w:t>LVEF (%)</w:t>
            </w:r>
          </w:p>
        </w:tc>
        <w:tc>
          <w:tcPr>
            <w:tcW w:w="2268" w:type="dxa"/>
            <w:tcBorders>
              <w:top w:val="dotted" w:sz="12" w:space="0" w:color="ED7D31" w:themeColor="accent2"/>
            </w:tcBorders>
            <w:shd w:val="clear" w:color="auto" w:fill="auto"/>
          </w:tcPr>
          <w:p w14:paraId="2318EEC0" w14:textId="77777777" w:rsidR="00F92DB9" w:rsidRDefault="00DA2564">
            <w:pPr>
              <w:spacing w:line="276" w:lineRule="auto"/>
              <w:rPr>
                <w:rFonts w:ascii="Times New Roman" w:hAnsi="Times New Roman" w:cs="Times New Roman"/>
                <w:szCs w:val="21"/>
              </w:rPr>
            </w:pPr>
            <w:r>
              <w:rPr>
                <w:rFonts w:ascii="Times New Roman" w:hAnsi="Times New Roman" w:cs="Times New Roman"/>
                <w:szCs w:val="21"/>
              </w:rPr>
              <w:t>65.57</w:t>
            </w:r>
            <w:r>
              <w:rPr>
                <w:rFonts w:ascii="Times New Roman" w:hAnsi="Times New Roman" w:cs="Times New Roman"/>
                <w:color w:val="000000"/>
                <w:szCs w:val="21"/>
              </w:rPr>
              <w:t>±5.55</w:t>
            </w:r>
          </w:p>
        </w:tc>
        <w:tc>
          <w:tcPr>
            <w:tcW w:w="2126" w:type="dxa"/>
            <w:tcBorders>
              <w:top w:val="dotted" w:sz="12" w:space="0" w:color="ED7D31" w:themeColor="accent2"/>
            </w:tcBorders>
            <w:shd w:val="clear" w:color="auto" w:fill="auto"/>
          </w:tcPr>
          <w:p w14:paraId="0E8C06C2"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47.91±6.13</w:t>
            </w:r>
            <w:r>
              <w:rPr>
                <w:rFonts w:ascii="Times New Roman" w:hAnsi="Times New Roman" w:cs="Times New Roman"/>
                <w:color w:val="000000"/>
                <w:szCs w:val="21"/>
                <w:vertAlign w:val="superscript"/>
              </w:rPr>
              <w:t>****</w:t>
            </w:r>
          </w:p>
        </w:tc>
        <w:tc>
          <w:tcPr>
            <w:tcW w:w="2339" w:type="dxa"/>
            <w:tcBorders>
              <w:top w:val="dotted" w:sz="12" w:space="0" w:color="ED7D31" w:themeColor="accent2"/>
            </w:tcBorders>
            <w:shd w:val="clear" w:color="auto" w:fill="auto"/>
          </w:tcPr>
          <w:p w14:paraId="2CEBED23"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59.52±8.17</w:t>
            </w:r>
            <w:r>
              <w:rPr>
                <w:rFonts w:ascii="Times New Roman" w:hAnsi="Times New Roman" w:cs="Times New Roman"/>
                <w:color w:val="000000"/>
                <w:szCs w:val="21"/>
                <w:vertAlign w:val="superscript"/>
              </w:rPr>
              <w:t>##</w:t>
            </w:r>
          </w:p>
        </w:tc>
      </w:tr>
      <w:tr w:rsidR="00F92DB9" w14:paraId="39106D6D" w14:textId="77777777">
        <w:trPr>
          <w:trHeight w:val="404"/>
        </w:trPr>
        <w:tc>
          <w:tcPr>
            <w:tcW w:w="1951" w:type="dxa"/>
            <w:shd w:val="clear" w:color="auto" w:fill="auto"/>
          </w:tcPr>
          <w:p w14:paraId="62369766"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szCs w:val="21"/>
              </w:rPr>
              <w:t>LVFS (%)</w:t>
            </w:r>
          </w:p>
        </w:tc>
        <w:tc>
          <w:tcPr>
            <w:tcW w:w="2268" w:type="dxa"/>
            <w:shd w:val="clear" w:color="auto" w:fill="auto"/>
          </w:tcPr>
          <w:p w14:paraId="635B1D10"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35.49±1.38</w:t>
            </w:r>
          </w:p>
        </w:tc>
        <w:tc>
          <w:tcPr>
            <w:tcW w:w="2126" w:type="dxa"/>
            <w:shd w:val="clear" w:color="auto" w:fill="auto"/>
          </w:tcPr>
          <w:p w14:paraId="3976D610"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23.90±3.65</w:t>
            </w:r>
            <w:r>
              <w:rPr>
                <w:rFonts w:ascii="Times New Roman" w:hAnsi="Times New Roman" w:cs="Times New Roman"/>
                <w:color w:val="000000"/>
                <w:szCs w:val="21"/>
                <w:vertAlign w:val="superscript"/>
              </w:rPr>
              <w:t>****</w:t>
            </w:r>
          </w:p>
        </w:tc>
        <w:tc>
          <w:tcPr>
            <w:tcW w:w="2339" w:type="dxa"/>
            <w:shd w:val="clear" w:color="auto" w:fill="auto"/>
          </w:tcPr>
          <w:p w14:paraId="1EFF0931"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31.27±5.50</w:t>
            </w:r>
            <w:r>
              <w:rPr>
                <w:rFonts w:ascii="Times New Roman" w:hAnsi="Times New Roman" w:cs="Times New Roman"/>
                <w:color w:val="000000"/>
                <w:szCs w:val="21"/>
                <w:vertAlign w:val="superscript"/>
              </w:rPr>
              <w:t>##</w:t>
            </w:r>
          </w:p>
        </w:tc>
      </w:tr>
      <w:tr w:rsidR="00F92DB9" w14:paraId="47101557" w14:textId="77777777">
        <w:trPr>
          <w:trHeight w:val="417"/>
        </w:trPr>
        <w:tc>
          <w:tcPr>
            <w:tcW w:w="1951" w:type="dxa"/>
            <w:shd w:val="clear" w:color="auto" w:fill="auto"/>
          </w:tcPr>
          <w:p w14:paraId="4642B328"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szCs w:val="21"/>
              </w:rPr>
              <w:t>LVIDd (mm)</w:t>
            </w:r>
          </w:p>
        </w:tc>
        <w:tc>
          <w:tcPr>
            <w:tcW w:w="2268" w:type="dxa"/>
            <w:shd w:val="clear" w:color="auto" w:fill="auto"/>
          </w:tcPr>
          <w:p w14:paraId="07DFE717"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3.73±0.39</w:t>
            </w:r>
          </w:p>
        </w:tc>
        <w:tc>
          <w:tcPr>
            <w:tcW w:w="2126" w:type="dxa"/>
            <w:shd w:val="clear" w:color="auto" w:fill="auto"/>
          </w:tcPr>
          <w:p w14:paraId="33B123DD"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4.11±0.26</w:t>
            </w:r>
            <w:r>
              <w:rPr>
                <w:rFonts w:ascii="Times New Roman" w:hAnsi="Times New Roman" w:cs="Times New Roman"/>
                <w:color w:val="231F20"/>
                <w:szCs w:val="21"/>
                <w:vertAlign w:val="superscript"/>
              </w:rPr>
              <w:t>*</w:t>
            </w:r>
          </w:p>
        </w:tc>
        <w:tc>
          <w:tcPr>
            <w:tcW w:w="2339" w:type="dxa"/>
            <w:shd w:val="clear" w:color="auto" w:fill="auto"/>
          </w:tcPr>
          <w:p w14:paraId="2DB9AC34"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3.73±0.26</w:t>
            </w:r>
            <w:r>
              <w:rPr>
                <w:rFonts w:ascii="Times New Roman" w:hAnsi="Times New Roman" w:cs="Times New Roman"/>
                <w:color w:val="231F20"/>
                <w:szCs w:val="21"/>
                <w:vertAlign w:val="superscript"/>
              </w:rPr>
              <w:t>#</w:t>
            </w:r>
          </w:p>
        </w:tc>
      </w:tr>
      <w:tr w:rsidR="00F92DB9" w14:paraId="3CB5DC59" w14:textId="77777777">
        <w:trPr>
          <w:trHeight w:val="404"/>
        </w:trPr>
        <w:tc>
          <w:tcPr>
            <w:tcW w:w="1951" w:type="dxa"/>
            <w:shd w:val="clear" w:color="auto" w:fill="auto"/>
          </w:tcPr>
          <w:p w14:paraId="4F0F8B43"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color w:val="000000"/>
                <w:szCs w:val="21"/>
              </w:rPr>
              <w:t>LVIDs(mm)</w:t>
            </w:r>
          </w:p>
        </w:tc>
        <w:tc>
          <w:tcPr>
            <w:tcW w:w="2268" w:type="dxa"/>
            <w:shd w:val="clear" w:color="auto" w:fill="auto"/>
          </w:tcPr>
          <w:p w14:paraId="225E6F52"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2.42±0.38</w:t>
            </w:r>
          </w:p>
        </w:tc>
        <w:tc>
          <w:tcPr>
            <w:tcW w:w="2126" w:type="dxa"/>
            <w:shd w:val="clear" w:color="auto" w:fill="auto"/>
          </w:tcPr>
          <w:p w14:paraId="1BE1586F"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3.12±0.28</w:t>
            </w:r>
            <w:r>
              <w:rPr>
                <w:rFonts w:ascii="Times New Roman" w:hAnsi="Times New Roman" w:cs="Times New Roman"/>
                <w:color w:val="231F20"/>
                <w:szCs w:val="21"/>
                <w:vertAlign w:val="superscript"/>
              </w:rPr>
              <w:t>***</w:t>
            </w:r>
          </w:p>
        </w:tc>
        <w:tc>
          <w:tcPr>
            <w:tcW w:w="2339" w:type="dxa"/>
            <w:shd w:val="clear" w:color="auto" w:fill="auto"/>
          </w:tcPr>
          <w:p w14:paraId="2F0A6448"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2.58±0.36</w:t>
            </w:r>
            <w:r>
              <w:rPr>
                <w:rFonts w:ascii="Times New Roman" w:hAnsi="Times New Roman" w:cs="Times New Roman"/>
                <w:color w:val="000000"/>
                <w:szCs w:val="21"/>
                <w:vertAlign w:val="superscript"/>
              </w:rPr>
              <w:t>##</w:t>
            </w:r>
          </w:p>
        </w:tc>
      </w:tr>
      <w:tr w:rsidR="00F92DB9" w14:paraId="26DD5F9B" w14:textId="77777777">
        <w:trPr>
          <w:trHeight w:val="404"/>
        </w:trPr>
        <w:tc>
          <w:tcPr>
            <w:tcW w:w="1951" w:type="dxa"/>
            <w:shd w:val="clear" w:color="auto" w:fill="auto"/>
          </w:tcPr>
          <w:p w14:paraId="27D31308"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szCs w:val="21"/>
              </w:rPr>
              <w:t>LVPWd(mm)</w:t>
            </w:r>
          </w:p>
        </w:tc>
        <w:tc>
          <w:tcPr>
            <w:tcW w:w="2268" w:type="dxa"/>
            <w:shd w:val="clear" w:color="auto" w:fill="auto"/>
          </w:tcPr>
          <w:p w14:paraId="678DE56F"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0.72±0.07</w:t>
            </w:r>
          </w:p>
        </w:tc>
        <w:tc>
          <w:tcPr>
            <w:tcW w:w="2126" w:type="dxa"/>
            <w:shd w:val="clear" w:color="auto" w:fill="auto"/>
          </w:tcPr>
          <w:p w14:paraId="49A7B0C2"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0.67±0.10</w:t>
            </w:r>
          </w:p>
        </w:tc>
        <w:tc>
          <w:tcPr>
            <w:tcW w:w="2339" w:type="dxa"/>
            <w:shd w:val="clear" w:color="auto" w:fill="auto"/>
          </w:tcPr>
          <w:p w14:paraId="4134EFB9" w14:textId="77777777" w:rsidR="00F92DB9" w:rsidRDefault="00DA2564">
            <w:pPr>
              <w:spacing w:line="276" w:lineRule="auto"/>
              <w:rPr>
                <w:rFonts w:ascii="Times New Roman" w:hAnsi="Times New Roman" w:cs="Times New Roman"/>
                <w:szCs w:val="21"/>
              </w:rPr>
            </w:pPr>
            <w:r>
              <w:rPr>
                <w:rFonts w:ascii="Times New Roman" w:hAnsi="Times New Roman" w:cs="Times New Roman"/>
                <w:color w:val="000000"/>
                <w:szCs w:val="21"/>
              </w:rPr>
              <w:t>0.72±0.03</w:t>
            </w:r>
          </w:p>
        </w:tc>
      </w:tr>
      <w:tr w:rsidR="00F92DB9" w14:paraId="0511C42A" w14:textId="77777777">
        <w:trPr>
          <w:trHeight w:val="404"/>
        </w:trPr>
        <w:tc>
          <w:tcPr>
            <w:tcW w:w="1951" w:type="dxa"/>
            <w:shd w:val="clear" w:color="auto" w:fill="auto"/>
          </w:tcPr>
          <w:p w14:paraId="15A97728"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szCs w:val="21"/>
              </w:rPr>
              <w:t>LVPWs(mm)</w:t>
            </w:r>
          </w:p>
        </w:tc>
        <w:tc>
          <w:tcPr>
            <w:tcW w:w="2268" w:type="dxa"/>
            <w:shd w:val="clear" w:color="auto" w:fill="auto"/>
          </w:tcPr>
          <w:p w14:paraId="214CF5B3"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1.15±0.11</w:t>
            </w:r>
          </w:p>
        </w:tc>
        <w:tc>
          <w:tcPr>
            <w:tcW w:w="2126" w:type="dxa"/>
            <w:shd w:val="clear" w:color="auto" w:fill="auto"/>
          </w:tcPr>
          <w:p w14:paraId="207AA866"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0.94±0.16</w:t>
            </w:r>
            <w:r>
              <w:rPr>
                <w:rFonts w:ascii="Times New Roman" w:hAnsi="Times New Roman" w:cs="Times New Roman"/>
                <w:color w:val="000000"/>
                <w:szCs w:val="21"/>
                <w:vertAlign w:val="superscript"/>
              </w:rPr>
              <w:t>**</w:t>
            </w:r>
          </w:p>
        </w:tc>
        <w:tc>
          <w:tcPr>
            <w:tcW w:w="2339" w:type="dxa"/>
            <w:shd w:val="clear" w:color="auto" w:fill="auto"/>
          </w:tcPr>
          <w:p w14:paraId="1C9B18C3"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1.11±0.10</w:t>
            </w:r>
            <w:r>
              <w:rPr>
                <w:rFonts w:ascii="Times New Roman" w:hAnsi="Times New Roman" w:cs="Times New Roman"/>
                <w:color w:val="231F20"/>
                <w:szCs w:val="21"/>
                <w:vertAlign w:val="superscript"/>
              </w:rPr>
              <w:t>#</w:t>
            </w:r>
          </w:p>
        </w:tc>
      </w:tr>
      <w:tr w:rsidR="00F92DB9" w14:paraId="752FA33A" w14:textId="77777777">
        <w:trPr>
          <w:trHeight w:val="404"/>
        </w:trPr>
        <w:tc>
          <w:tcPr>
            <w:tcW w:w="1951" w:type="dxa"/>
            <w:shd w:val="clear" w:color="auto" w:fill="auto"/>
          </w:tcPr>
          <w:p w14:paraId="159F3223"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color w:val="000000"/>
                <w:szCs w:val="21"/>
              </w:rPr>
              <w:t>IVSTd(mm)</w:t>
            </w:r>
          </w:p>
        </w:tc>
        <w:tc>
          <w:tcPr>
            <w:tcW w:w="2268" w:type="dxa"/>
            <w:shd w:val="clear" w:color="auto" w:fill="auto"/>
          </w:tcPr>
          <w:p w14:paraId="17532902"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0.73±0.06</w:t>
            </w:r>
          </w:p>
        </w:tc>
        <w:tc>
          <w:tcPr>
            <w:tcW w:w="2126" w:type="dxa"/>
            <w:shd w:val="clear" w:color="auto" w:fill="auto"/>
          </w:tcPr>
          <w:p w14:paraId="6C58DF5B"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0.71±0.07</w:t>
            </w:r>
          </w:p>
        </w:tc>
        <w:tc>
          <w:tcPr>
            <w:tcW w:w="2339" w:type="dxa"/>
            <w:shd w:val="clear" w:color="auto" w:fill="auto"/>
          </w:tcPr>
          <w:p w14:paraId="287D97A7"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0.73±0.04</w:t>
            </w:r>
          </w:p>
        </w:tc>
      </w:tr>
      <w:tr w:rsidR="00F92DB9" w14:paraId="41CDB6D1" w14:textId="77777777">
        <w:trPr>
          <w:trHeight w:val="417"/>
        </w:trPr>
        <w:tc>
          <w:tcPr>
            <w:tcW w:w="1951" w:type="dxa"/>
            <w:shd w:val="clear" w:color="auto" w:fill="auto"/>
          </w:tcPr>
          <w:p w14:paraId="3F95E5CD"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color w:val="000000"/>
                <w:szCs w:val="21"/>
              </w:rPr>
              <w:t>IVSTs(mm)</w:t>
            </w:r>
          </w:p>
        </w:tc>
        <w:tc>
          <w:tcPr>
            <w:tcW w:w="2268" w:type="dxa"/>
            <w:shd w:val="clear" w:color="auto" w:fill="auto"/>
          </w:tcPr>
          <w:p w14:paraId="749DBB84"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1.21±0.12</w:t>
            </w:r>
          </w:p>
        </w:tc>
        <w:tc>
          <w:tcPr>
            <w:tcW w:w="2126" w:type="dxa"/>
            <w:shd w:val="clear" w:color="auto" w:fill="auto"/>
          </w:tcPr>
          <w:p w14:paraId="622FB32F"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1.03±0.06</w:t>
            </w:r>
            <w:r>
              <w:rPr>
                <w:rFonts w:ascii="Times New Roman" w:hAnsi="Times New Roman" w:cs="Times New Roman"/>
                <w:color w:val="000000"/>
                <w:szCs w:val="21"/>
                <w:vertAlign w:val="superscript"/>
              </w:rPr>
              <w:t>**</w:t>
            </w:r>
          </w:p>
        </w:tc>
        <w:tc>
          <w:tcPr>
            <w:tcW w:w="2339" w:type="dxa"/>
            <w:shd w:val="clear" w:color="auto" w:fill="auto"/>
          </w:tcPr>
          <w:p w14:paraId="5AF9F235"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1.13±0.09</w:t>
            </w:r>
          </w:p>
        </w:tc>
      </w:tr>
      <w:tr w:rsidR="00F92DB9" w14:paraId="094A3F14" w14:textId="77777777">
        <w:trPr>
          <w:trHeight w:val="404"/>
        </w:trPr>
        <w:tc>
          <w:tcPr>
            <w:tcW w:w="1951" w:type="dxa"/>
            <w:shd w:val="clear" w:color="auto" w:fill="auto"/>
          </w:tcPr>
          <w:p w14:paraId="0BEB486B"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color w:val="000000"/>
                <w:szCs w:val="21"/>
              </w:rPr>
              <w:t>LV Vol;s (uL)</w:t>
            </w:r>
          </w:p>
        </w:tc>
        <w:tc>
          <w:tcPr>
            <w:tcW w:w="2268" w:type="dxa"/>
            <w:shd w:val="clear" w:color="auto" w:fill="auto"/>
          </w:tcPr>
          <w:p w14:paraId="5C45F834"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21.33±9.08</w:t>
            </w:r>
          </w:p>
        </w:tc>
        <w:tc>
          <w:tcPr>
            <w:tcW w:w="2126" w:type="dxa"/>
            <w:shd w:val="clear" w:color="auto" w:fill="auto"/>
          </w:tcPr>
          <w:p w14:paraId="034FB9BD"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40.03±8.62</w:t>
            </w:r>
            <w:r>
              <w:rPr>
                <w:rFonts w:ascii="Times New Roman" w:hAnsi="Times New Roman" w:cs="Times New Roman"/>
                <w:color w:val="231F20"/>
                <w:szCs w:val="21"/>
                <w:vertAlign w:val="superscript"/>
              </w:rPr>
              <w:t>*</w:t>
            </w:r>
          </w:p>
        </w:tc>
        <w:tc>
          <w:tcPr>
            <w:tcW w:w="2339" w:type="dxa"/>
            <w:shd w:val="clear" w:color="auto" w:fill="auto"/>
          </w:tcPr>
          <w:p w14:paraId="249528C8"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24.80±8.32</w:t>
            </w:r>
            <w:r>
              <w:rPr>
                <w:rFonts w:ascii="Times New Roman" w:hAnsi="Times New Roman" w:cs="Times New Roman"/>
                <w:color w:val="231F20"/>
                <w:szCs w:val="21"/>
                <w:vertAlign w:val="superscript"/>
              </w:rPr>
              <w:t>#</w:t>
            </w:r>
          </w:p>
        </w:tc>
      </w:tr>
      <w:tr w:rsidR="00F92DB9" w14:paraId="45CF8646" w14:textId="77777777">
        <w:trPr>
          <w:trHeight w:val="404"/>
        </w:trPr>
        <w:tc>
          <w:tcPr>
            <w:tcW w:w="1951" w:type="dxa"/>
            <w:shd w:val="clear" w:color="auto" w:fill="auto"/>
          </w:tcPr>
          <w:p w14:paraId="00629226"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LV Vol;d (uL)</w:t>
            </w:r>
          </w:p>
        </w:tc>
        <w:tc>
          <w:tcPr>
            <w:tcW w:w="2268" w:type="dxa"/>
            <w:shd w:val="clear" w:color="auto" w:fill="auto"/>
          </w:tcPr>
          <w:p w14:paraId="608D71E7"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60.24±11.34</w:t>
            </w:r>
          </w:p>
        </w:tc>
        <w:tc>
          <w:tcPr>
            <w:tcW w:w="2126" w:type="dxa"/>
            <w:shd w:val="clear" w:color="auto" w:fill="auto"/>
          </w:tcPr>
          <w:p w14:paraId="2D578A4E"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76.52±12.66</w:t>
            </w:r>
            <w:r>
              <w:rPr>
                <w:rFonts w:ascii="Times New Roman" w:hAnsi="Times New Roman" w:cs="Times New Roman"/>
                <w:color w:val="231F20"/>
                <w:szCs w:val="21"/>
                <w:vertAlign w:val="superscript"/>
              </w:rPr>
              <w:t>***</w:t>
            </w:r>
          </w:p>
        </w:tc>
        <w:tc>
          <w:tcPr>
            <w:tcW w:w="2339" w:type="dxa"/>
            <w:shd w:val="clear" w:color="auto" w:fill="auto"/>
          </w:tcPr>
          <w:p w14:paraId="12619CF8"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59.83±9.99</w:t>
            </w:r>
            <w:r>
              <w:rPr>
                <w:rFonts w:ascii="Times New Roman" w:hAnsi="Times New Roman" w:cs="Times New Roman"/>
                <w:color w:val="000000"/>
                <w:szCs w:val="21"/>
                <w:vertAlign w:val="superscript"/>
              </w:rPr>
              <w:t>##</w:t>
            </w:r>
          </w:p>
        </w:tc>
      </w:tr>
      <w:tr w:rsidR="00F92DB9" w14:paraId="092E094A" w14:textId="77777777">
        <w:trPr>
          <w:trHeight w:val="404"/>
        </w:trPr>
        <w:tc>
          <w:tcPr>
            <w:tcW w:w="1951" w:type="dxa"/>
            <w:shd w:val="clear" w:color="auto" w:fill="auto"/>
          </w:tcPr>
          <w:p w14:paraId="455EFD67" w14:textId="77777777" w:rsidR="00F92DB9" w:rsidRDefault="00DA2564">
            <w:pPr>
              <w:spacing w:line="276" w:lineRule="auto"/>
              <w:rPr>
                <w:rFonts w:ascii="Times New Roman" w:hAnsi="Times New Roman" w:cs="Times New Roman"/>
                <w:b/>
                <w:bCs/>
                <w:szCs w:val="21"/>
              </w:rPr>
            </w:pPr>
            <w:r>
              <w:rPr>
                <w:rFonts w:ascii="Times New Roman" w:hAnsi="Times New Roman" w:cs="Times New Roman"/>
                <w:b/>
                <w:bCs/>
                <w:color w:val="000000"/>
                <w:szCs w:val="21"/>
              </w:rPr>
              <w:t>LV Mass (mg)</w:t>
            </w:r>
          </w:p>
        </w:tc>
        <w:tc>
          <w:tcPr>
            <w:tcW w:w="2268" w:type="dxa"/>
            <w:shd w:val="clear" w:color="auto" w:fill="auto"/>
          </w:tcPr>
          <w:p w14:paraId="682C2751"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91.71±14.78</w:t>
            </w:r>
          </w:p>
        </w:tc>
        <w:tc>
          <w:tcPr>
            <w:tcW w:w="2126" w:type="dxa"/>
            <w:shd w:val="clear" w:color="auto" w:fill="auto"/>
          </w:tcPr>
          <w:p w14:paraId="00ED3289"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103.68±14.95</w:t>
            </w:r>
          </w:p>
        </w:tc>
        <w:tc>
          <w:tcPr>
            <w:tcW w:w="2339" w:type="dxa"/>
            <w:shd w:val="clear" w:color="auto" w:fill="auto"/>
          </w:tcPr>
          <w:p w14:paraId="26B858A9"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92.69±12.35</w:t>
            </w:r>
          </w:p>
        </w:tc>
      </w:tr>
      <w:tr w:rsidR="00F92DB9" w14:paraId="0A306789" w14:textId="77777777">
        <w:trPr>
          <w:trHeight w:val="591"/>
        </w:trPr>
        <w:tc>
          <w:tcPr>
            <w:tcW w:w="1951" w:type="dxa"/>
            <w:tcBorders>
              <w:bottom w:val="single" w:sz="12" w:space="0" w:color="ED7D31" w:themeColor="accent2"/>
            </w:tcBorders>
            <w:shd w:val="clear" w:color="auto" w:fill="auto"/>
          </w:tcPr>
          <w:p w14:paraId="46271C35"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lastRenderedPageBreak/>
              <w:t xml:space="preserve">LV Mass   </w:t>
            </w:r>
          </w:p>
          <w:p w14:paraId="657207EA" w14:textId="77777777" w:rsidR="00F92DB9" w:rsidRDefault="00DA2564">
            <w:pPr>
              <w:spacing w:line="276" w:lineRule="auto"/>
              <w:rPr>
                <w:rFonts w:ascii="Times New Roman" w:hAnsi="Times New Roman" w:cs="Times New Roman"/>
                <w:b/>
                <w:bCs/>
                <w:color w:val="000000"/>
                <w:szCs w:val="21"/>
              </w:rPr>
            </w:pPr>
            <w:r>
              <w:rPr>
                <w:rFonts w:ascii="Times New Roman" w:hAnsi="Times New Roman" w:cs="Times New Roman"/>
                <w:b/>
                <w:bCs/>
                <w:color w:val="000000"/>
                <w:szCs w:val="21"/>
              </w:rPr>
              <w:t>(Corrected)(mg)</w:t>
            </w:r>
          </w:p>
        </w:tc>
        <w:tc>
          <w:tcPr>
            <w:tcW w:w="2268" w:type="dxa"/>
            <w:tcBorders>
              <w:bottom w:val="single" w:sz="12" w:space="0" w:color="ED7D31" w:themeColor="accent2"/>
            </w:tcBorders>
            <w:shd w:val="clear" w:color="auto" w:fill="auto"/>
          </w:tcPr>
          <w:p w14:paraId="62A67851"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73.37±7.97</w:t>
            </w:r>
          </w:p>
        </w:tc>
        <w:tc>
          <w:tcPr>
            <w:tcW w:w="2126" w:type="dxa"/>
            <w:tcBorders>
              <w:bottom w:val="single" w:sz="12" w:space="0" w:color="ED7D31" w:themeColor="accent2"/>
            </w:tcBorders>
            <w:shd w:val="clear" w:color="auto" w:fill="auto"/>
          </w:tcPr>
          <w:p w14:paraId="2762B33D"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82.94±11.96</w:t>
            </w:r>
          </w:p>
        </w:tc>
        <w:tc>
          <w:tcPr>
            <w:tcW w:w="2339" w:type="dxa"/>
            <w:tcBorders>
              <w:bottom w:val="single" w:sz="12" w:space="0" w:color="ED7D31" w:themeColor="accent2"/>
            </w:tcBorders>
            <w:shd w:val="clear" w:color="auto" w:fill="auto"/>
          </w:tcPr>
          <w:p w14:paraId="1082EFA6" w14:textId="77777777" w:rsidR="00F92DB9" w:rsidRDefault="00DA2564">
            <w:pPr>
              <w:spacing w:line="276" w:lineRule="auto"/>
              <w:rPr>
                <w:rFonts w:ascii="Times New Roman" w:hAnsi="Times New Roman" w:cs="Times New Roman"/>
                <w:color w:val="000000"/>
                <w:szCs w:val="21"/>
              </w:rPr>
            </w:pPr>
            <w:r>
              <w:rPr>
                <w:rFonts w:ascii="Times New Roman" w:hAnsi="Times New Roman" w:cs="Times New Roman"/>
                <w:color w:val="000000"/>
                <w:szCs w:val="21"/>
              </w:rPr>
              <w:t>74.15±9.88</w:t>
            </w:r>
          </w:p>
        </w:tc>
      </w:tr>
    </w:tbl>
    <w:p w14:paraId="7E009708" w14:textId="77777777" w:rsidR="00F92DB9" w:rsidRDefault="00F92DB9"/>
    <w:p w14:paraId="77AF0ACF" w14:textId="77777777" w:rsidR="00F92DB9" w:rsidRDefault="00DA2564">
      <w:pPr>
        <w:spacing w:line="276" w:lineRule="auto"/>
        <w:rPr>
          <w:rFonts w:ascii="Times New Roman" w:hAnsi="Times New Roman" w:cs="Times New Roman"/>
          <w:szCs w:val="21"/>
        </w:rPr>
      </w:pPr>
      <w:r>
        <w:rPr>
          <w:rFonts w:ascii="Times New Roman" w:hAnsi="Times New Roman" w:cs="Times New Roman"/>
          <w:szCs w:val="21"/>
        </w:rPr>
        <w:t xml:space="preserve">LVEF, left ventricular ejection fraction; LVFS, left ventricle fractional shortening; LVIDs, left ventricle end-diastolic diameter ;LVIDs, left ventricle end-systolic diameter; LVPWd, left ventricular posterior wall thickness </w:t>
      </w:r>
      <w:r>
        <w:rPr>
          <w:rFonts w:ascii="Times New Roman" w:hAnsi="Times New Roman" w:cs="Times New Roman"/>
          <w:szCs w:val="21"/>
          <w:shd w:val="clear" w:color="auto" w:fill="FFFFFF"/>
        </w:rPr>
        <w:t>at end-diastole;</w:t>
      </w:r>
      <w:r>
        <w:rPr>
          <w:rFonts w:ascii="Times New Roman" w:hAnsi="Times New Roman" w:cs="Times New Roman"/>
          <w:szCs w:val="21"/>
        </w:rPr>
        <w:t xml:space="preserve"> LVPWs, left ventricular posterior wall thickness </w:t>
      </w:r>
      <w:r>
        <w:rPr>
          <w:rFonts w:ascii="Times New Roman" w:hAnsi="Times New Roman" w:cs="Times New Roman"/>
          <w:szCs w:val="21"/>
          <w:shd w:val="clear" w:color="auto" w:fill="FFFFFF"/>
        </w:rPr>
        <w:t>at end-</w:t>
      </w:r>
      <w:r>
        <w:rPr>
          <w:rFonts w:ascii="Times New Roman" w:hAnsi="Times New Roman" w:cs="Times New Roman"/>
          <w:i/>
          <w:iCs/>
          <w:szCs w:val="21"/>
          <w:shd w:val="clear" w:color="auto" w:fill="FFFFFF"/>
        </w:rPr>
        <w:t xml:space="preserve"> </w:t>
      </w:r>
      <w:r>
        <w:rPr>
          <w:rStyle w:val="aa"/>
          <w:rFonts w:ascii="Times New Roman" w:hAnsi="Times New Roman" w:cs="Times New Roman"/>
          <w:szCs w:val="21"/>
          <w:shd w:val="clear" w:color="auto" w:fill="FFFFFF"/>
        </w:rPr>
        <w:t>systole;</w:t>
      </w:r>
      <w:r>
        <w:rPr>
          <w:rFonts w:ascii="Times New Roman" w:hAnsi="Times New Roman" w:cs="Times New Roman"/>
          <w:szCs w:val="21"/>
        </w:rPr>
        <w:t xml:space="preserve"> IVSTd, interventricular septal thickness </w:t>
      </w:r>
      <w:r>
        <w:rPr>
          <w:rFonts w:ascii="Times New Roman" w:hAnsi="Times New Roman" w:cs="Times New Roman"/>
          <w:szCs w:val="21"/>
          <w:shd w:val="clear" w:color="auto" w:fill="FFFFFF"/>
        </w:rPr>
        <w:t>at end-diastole;</w:t>
      </w:r>
      <w:r>
        <w:rPr>
          <w:rFonts w:ascii="Times New Roman" w:hAnsi="Times New Roman" w:cs="Times New Roman"/>
          <w:szCs w:val="21"/>
        </w:rPr>
        <w:t xml:space="preserve"> IVSTs, interventricular septal thickness </w:t>
      </w:r>
      <w:r>
        <w:rPr>
          <w:rFonts w:ascii="Times New Roman" w:hAnsi="Times New Roman" w:cs="Times New Roman"/>
          <w:szCs w:val="21"/>
          <w:shd w:val="clear" w:color="auto" w:fill="FFFFFF"/>
        </w:rPr>
        <w:t>at end-</w:t>
      </w:r>
      <w:r>
        <w:rPr>
          <w:rFonts w:ascii="Times New Roman" w:hAnsi="Times New Roman" w:cs="Times New Roman"/>
          <w:i/>
          <w:iCs/>
          <w:szCs w:val="21"/>
          <w:shd w:val="clear" w:color="auto" w:fill="FFFFFF"/>
        </w:rPr>
        <w:t xml:space="preserve"> </w:t>
      </w:r>
      <w:r>
        <w:rPr>
          <w:rStyle w:val="aa"/>
          <w:rFonts w:ascii="Times New Roman" w:hAnsi="Times New Roman" w:cs="Times New Roman"/>
          <w:szCs w:val="21"/>
          <w:shd w:val="clear" w:color="auto" w:fill="FFFFFF"/>
        </w:rPr>
        <w:t>systole;</w:t>
      </w:r>
      <w:r>
        <w:rPr>
          <w:rFonts w:ascii="Times New Roman" w:hAnsi="Times New Roman" w:cs="Times New Roman"/>
          <w:szCs w:val="21"/>
        </w:rPr>
        <w:t xml:space="preserve"> LV Vol;d, left ventricle end diastolic volume; LV Vol;s, left ventricle end systolic volume; LV Mass, left ventricular heart weight ; LV Mass (Corrected): left ventricular heart weight(Corrected). *</w:t>
      </w:r>
      <w:r>
        <w:rPr>
          <w:rFonts w:ascii="Times New Roman" w:hAnsi="Times New Roman" w:cs="Times New Roman"/>
          <w:i/>
          <w:iCs/>
          <w:szCs w:val="21"/>
        </w:rPr>
        <w:t xml:space="preserve">P </w:t>
      </w:r>
      <w:r>
        <w:rPr>
          <w:rFonts w:ascii="Times New Roman" w:hAnsi="Times New Roman" w:cs="Times New Roman"/>
          <w:szCs w:val="21"/>
        </w:rPr>
        <w:t>&lt; 0.05</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i/>
          <w:iCs/>
          <w:szCs w:val="21"/>
        </w:rPr>
        <w:t>P</w:t>
      </w:r>
      <w:r>
        <w:rPr>
          <w:rFonts w:ascii="Times New Roman" w:hAnsi="Times New Roman" w:cs="Times New Roman"/>
          <w:szCs w:val="21"/>
        </w:rPr>
        <w:t xml:space="preserve"> &lt; 0.01</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i/>
          <w:iCs/>
          <w:szCs w:val="21"/>
        </w:rPr>
        <w:t xml:space="preserve">P </w:t>
      </w:r>
      <w:r>
        <w:rPr>
          <w:rFonts w:ascii="Times New Roman" w:hAnsi="Times New Roman" w:cs="Times New Roman"/>
          <w:szCs w:val="21"/>
        </w:rPr>
        <w:t>&lt; 0.001</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i/>
          <w:iCs/>
          <w:szCs w:val="21"/>
        </w:rPr>
        <w:t>P</w:t>
      </w:r>
      <w:r>
        <w:rPr>
          <w:rFonts w:ascii="Times New Roman" w:hAnsi="Times New Roman" w:cs="Times New Roman"/>
          <w:szCs w:val="21"/>
        </w:rPr>
        <w:t xml:space="preserve"> &lt; 0.0001 vs. Control</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i/>
          <w:iCs/>
          <w:szCs w:val="21"/>
        </w:rPr>
        <w:t>P</w:t>
      </w:r>
      <w:r>
        <w:rPr>
          <w:rFonts w:ascii="Times New Roman" w:hAnsi="Times New Roman" w:cs="Times New Roman"/>
          <w:szCs w:val="21"/>
        </w:rPr>
        <w:t xml:space="preserve"> &lt; 0.05</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i/>
          <w:iCs/>
          <w:szCs w:val="21"/>
        </w:rPr>
        <w:t>P</w:t>
      </w:r>
      <w:r>
        <w:rPr>
          <w:rFonts w:ascii="Times New Roman" w:hAnsi="Times New Roman" w:cs="Times New Roman"/>
          <w:szCs w:val="21"/>
        </w:rPr>
        <w:t xml:space="preserve"> &lt; 0.01 vs. DCM+PBS.</w:t>
      </w:r>
    </w:p>
    <w:p w14:paraId="113E9F9D" w14:textId="77777777" w:rsidR="00F92DB9" w:rsidRDefault="00F92DB9"/>
    <w:sectPr w:rsidR="00F92D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50C3" w14:textId="77777777" w:rsidR="00AD49D2" w:rsidRDefault="00AD49D2" w:rsidP="00AA01B7">
      <w:r>
        <w:separator/>
      </w:r>
    </w:p>
  </w:endnote>
  <w:endnote w:type="continuationSeparator" w:id="0">
    <w:p w14:paraId="03E692DC" w14:textId="77777777" w:rsidR="00AD49D2" w:rsidRDefault="00AD49D2" w:rsidP="00AA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BoldM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4226" w14:textId="77777777" w:rsidR="00AD49D2" w:rsidRDefault="00AD49D2" w:rsidP="00AA01B7">
      <w:r>
        <w:separator/>
      </w:r>
    </w:p>
  </w:footnote>
  <w:footnote w:type="continuationSeparator" w:id="0">
    <w:p w14:paraId="4764E4D5" w14:textId="77777777" w:rsidR="00AD49D2" w:rsidRDefault="00AD49D2" w:rsidP="00AA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79"/>
    <w:rsid w:val="000B4686"/>
    <w:rsid w:val="002B23A3"/>
    <w:rsid w:val="004B0CA5"/>
    <w:rsid w:val="00635572"/>
    <w:rsid w:val="00672CA8"/>
    <w:rsid w:val="00711965"/>
    <w:rsid w:val="007B2BC3"/>
    <w:rsid w:val="00875013"/>
    <w:rsid w:val="009E0379"/>
    <w:rsid w:val="00AA01B7"/>
    <w:rsid w:val="00AD49D2"/>
    <w:rsid w:val="00B95647"/>
    <w:rsid w:val="00BA0077"/>
    <w:rsid w:val="00C5250C"/>
    <w:rsid w:val="00DA2564"/>
    <w:rsid w:val="00E52D08"/>
    <w:rsid w:val="00F44BDC"/>
    <w:rsid w:val="00F92DB9"/>
    <w:rsid w:val="00FD6829"/>
    <w:rsid w:val="09363A85"/>
    <w:rsid w:val="1454395F"/>
    <w:rsid w:val="1B85085A"/>
    <w:rsid w:val="1BB2126F"/>
    <w:rsid w:val="3DC55949"/>
    <w:rsid w:val="4F271318"/>
    <w:rsid w:val="549D2530"/>
    <w:rsid w:val="5B4B65B3"/>
    <w:rsid w:val="6A543E24"/>
    <w:rsid w:val="6B6E1B43"/>
    <w:rsid w:val="6F867A30"/>
    <w:rsid w:val="77035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E2FD"/>
  <w15:docId w15:val="{B15CD3E1-0222-40C4-91E2-98011793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widowControl/>
      <w:jc w:val="left"/>
    </w:pPr>
    <w:rPr>
      <w:rFonts w:ascii="宋体" w:eastAsia="宋体" w:hAnsi="宋体" w:cs="宋体"/>
      <w:kern w:val="0"/>
      <w:sz w:val="24"/>
      <w:szCs w:val="24"/>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Pr>
      <w:i/>
      <w:iCs/>
    </w:rPr>
  </w:style>
  <w:style w:type="character" w:styleId="ab">
    <w:name w:val="annotation reference"/>
    <w:basedOn w:val="a0"/>
    <w:rPr>
      <w:sz w:val="21"/>
      <w:szCs w:val="21"/>
    </w:rPr>
  </w:style>
  <w:style w:type="character" w:customStyle="1" w:styleId="a4">
    <w:name w:val="批注文字 字符"/>
    <w:basedOn w:val="a0"/>
    <w:link w:val="a3"/>
    <w:rPr>
      <w:rFonts w:ascii="宋体" w:eastAsia="宋体" w:hAnsi="宋体" w:cs="宋体"/>
      <w:kern w:val="0"/>
      <w:sz w:val="24"/>
      <w:szCs w:val="24"/>
    </w:rPr>
  </w:style>
  <w:style w:type="character" w:customStyle="1" w:styleId="fontstyle01">
    <w:name w:val="fontstyle01"/>
    <w:basedOn w:val="a0"/>
    <w:qFormat/>
    <w:rPr>
      <w:rFonts w:ascii="Arial-BoldMT" w:hAnsi="Arial-BoldMT" w:hint="default"/>
      <w:b/>
      <w:bCs/>
      <w:color w:val="000000"/>
      <w:sz w:val="22"/>
      <w:szCs w:val="22"/>
    </w:rPr>
  </w:style>
  <w:style w:type="character" w:customStyle="1" w:styleId="a8">
    <w:name w:val="页眉 字符"/>
    <w:basedOn w:val="a0"/>
    <w:link w:val="a7"/>
    <w:uiPriority w:val="99"/>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styleId="ac">
    <w:name w:val="Hyperlink"/>
    <w:basedOn w:val="a0"/>
    <w:uiPriority w:val="99"/>
    <w:unhideWhenUsed/>
    <w:rsid w:val="00C52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ubiao62@nju.edu.cn" TargetMode="External"/><Relationship Id="rId3" Type="http://schemas.openxmlformats.org/officeDocument/2006/relationships/settings" Target="settings.xml"/><Relationship Id="rId7" Type="http://schemas.openxmlformats.org/officeDocument/2006/relationships/hyperlink" Target="mailto:lqldoctor@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ubiao62@n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2021-05-16T08:19:00Z</dcterms:created>
  <dcterms:modified xsi:type="dcterms:W3CDTF">2021-06-13T13:39:00Z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EA4392ECF1904C5ABA6C131E59F098CB</vt:lpwstr>
  </property>
</Properties>
</file>