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D" w:rsidRDefault="00A7389C" w:rsidP="00EB7E5D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Table S1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Antibodies used in this study</w:t>
      </w:r>
    </w:p>
    <w:tbl>
      <w:tblPr>
        <w:tblStyle w:val="-11"/>
        <w:tblW w:w="8522" w:type="dxa"/>
        <w:tblLook w:val="04A0" w:firstRow="1" w:lastRow="0" w:firstColumn="1" w:lastColumn="0" w:noHBand="0" w:noVBand="1"/>
      </w:tblPr>
      <w:tblGrid>
        <w:gridCol w:w="4205"/>
        <w:gridCol w:w="1754"/>
        <w:gridCol w:w="953"/>
        <w:gridCol w:w="344"/>
        <w:gridCol w:w="1266"/>
      </w:tblGrid>
      <w:tr w:rsidR="00EB7E5D" w:rsidTr="00EB7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auto"/>
                <w:kern w:val="0"/>
                <w:szCs w:val="21"/>
              </w:rPr>
              <w:t xml:space="preserve">Antibodies </w:t>
            </w:r>
          </w:p>
        </w:tc>
        <w:tc>
          <w:tcPr>
            <w:tcW w:w="1754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kern w:val="0"/>
                <w:szCs w:val="21"/>
              </w:rPr>
              <w:t>Catalog</w:t>
            </w:r>
          </w:p>
        </w:tc>
        <w:tc>
          <w:tcPr>
            <w:tcW w:w="953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auto"/>
                <w:kern w:val="0"/>
                <w:szCs w:val="21"/>
              </w:rPr>
              <w:t xml:space="preserve">Source </w:t>
            </w:r>
          </w:p>
        </w:tc>
        <w:tc>
          <w:tcPr>
            <w:tcW w:w="1610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auto"/>
                <w:kern w:val="0"/>
                <w:szCs w:val="21"/>
              </w:rPr>
              <w:t>Application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Anti-PON1 [EPR2893]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ab126597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 IP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Anti-PON1 [17A12]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ab24261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 IF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Anti-MAP2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ab32454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IF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Anti-GFAP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ab7260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IF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Anti-Iba1 [EPR16589] 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ab178847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IF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Anti-CD11b/c [OX42]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ab1211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IF 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iNOS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ab15323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 IF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Phospho-p44/42 MAPK (Erk1/2) (Thr202/Tyr204) (D13.14.4E) XP®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4370s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p44/42 MAPK (Erk1/2)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9102s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Anti-GAPDH [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mAbcam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9484] – Loading Control (HRP)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ab9482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Anti-TREM2 [MM0942-42E14]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ab201621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 IP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Phospho-Syk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(Tyr525/526) (C87C1)</w:t>
            </w:r>
          </w:p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2710S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Syk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(D3Z1E) XP®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13198s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Vav2 (C64H2)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2848s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Vav3 antibody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2398s 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ARP2 (D85D5)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5614s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Arp3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4738s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DAP12 (D7G1X)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12492s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TREM2 (D8I4C)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91068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IF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LAMP1 (D4O1S) Mouse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15665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IF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Myc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-Tag (71D10)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2278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lastRenderedPageBreak/>
              <w:t xml:space="preserve">DYKDDDDK Tag (D6W5B)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14793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Anti-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Apolipoprotein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E [EPR19392]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ab183597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Phospho-Pyk2 (Tyr402)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3291s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Pyk2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3292s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Anti-TLR4 [76B357.1]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ab22048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NF-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κB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p65 (C22B4) Rabbit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4764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IκB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α (L35A5) Mouse 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(amino-terminal antigen)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4814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  <w:tr w:rsidR="00EB7E5D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Anti-</w:t>
            </w:r>
            <w:proofErr w:type="spellStart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>Nucleolin</w:t>
            </w:r>
            <w:proofErr w:type="spellEnd"/>
            <w:r>
              <w:rPr>
                <w:rFonts w:ascii="Times New Roman" w:eastAsia="DengXian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ab22758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Abcam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WB</w:t>
            </w:r>
          </w:p>
        </w:tc>
      </w:tr>
    </w:tbl>
    <w:p w:rsidR="00EB7E5D" w:rsidRDefault="00EB7E5D" w:rsidP="00EB7E5D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9337E" w:rsidRDefault="00C9337E">
      <w:bookmarkStart w:id="0" w:name="_GoBack"/>
      <w:bookmarkEnd w:id="0"/>
    </w:p>
    <w:sectPr w:rsidR="00C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95" w:rsidRDefault="00D41795" w:rsidP="00A7389C">
      <w:r>
        <w:separator/>
      </w:r>
    </w:p>
  </w:endnote>
  <w:endnote w:type="continuationSeparator" w:id="0">
    <w:p w:rsidR="00D41795" w:rsidRDefault="00D41795" w:rsidP="00A7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95" w:rsidRDefault="00D41795" w:rsidP="00A7389C">
      <w:r>
        <w:separator/>
      </w:r>
    </w:p>
  </w:footnote>
  <w:footnote w:type="continuationSeparator" w:id="0">
    <w:p w:rsidR="00D41795" w:rsidRDefault="00D41795" w:rsidP="00A7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A"/>
    <w:rsid w:val="0024143A"/>
    <w:rsid w:val="00450C18"/>
    <w:rsid w:val="00A7389C"/>
    <w:rsid w:val="00C9337E"/>
    <w:rsid w:val="00D41795"/>
    <w:rsid w:val="00E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89C"/>
    <w:rPr>
      <w:sz w:val="18"/>
      <w:szCs w:val="18"/>
    </w:rPr>
  </w:style>
  <w:style w:type="table" w:customStyle="1" w:styleId="-11">
    <w:name w:val="浅色列表 - 强调文字颜色 11"/>
    <w:basedOn w:val="a1"/>
    <w:uiPriority w:val="61"/>
    <w:rsid w:val="00A7389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89C"/>
    <w:rPr>
      <w:sz w:val="18"/>
      <w:szCs w:val="18"/>
    </w:rPr>
  </w:style>
  <w:style w:type="table" w:customStyle="1" w:styleId="-11">
    <w:name w:val="浅色列表 - 强调文字颜色 11"/>
    <w:basedOn w:val="a1"/>
    <w:uiPriority w:val="61"/>
    <w:rsid w:val="00A7389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2020-08-18T09:04:00Z</dcterms:created>
  <dcterms:modified xsi:type="dcterms:W3CDTF">2020-08-18T09:11:00Z</dcterms:modified>
</cp:coreProperties>
</file>