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AC7" w:rsidRPr="0086148F" w:rsidRDefault="00DB3AC7" w:rsidP="00DB3AC7">
      <w:bookmarkStart w:id="0" w:name="_GoBack"/>
      <w:bookmarkEnd w:id="0"/>
      <w:r w:rsidRPr="003763B9">
        <w:rPr>
          <w:b/>
          <w:sz w:val="20"/>
          <w:szCs w:val="20"/>
          <w:highlight w:val="yellow"/>
        </w:rPr>
        <w:t>Supplement</w:t>
      </w:r>
      <w:r>
        <w:rPr>
          <w:b/>
          <w:sz w:val="20"/>
          <w:szCs w:val="20"/>
          <w:highlight w:val="yellow"/>
        </w:rPr>
        <w:t>ary</w:t>
      </w:r>
      <w:r w:rsidRPr="003763B9">
        <w:rPr>
          <w:b/>
          <w:sz w:val="20"/>
          <w:szCs w:val="20"/>
          <w:highlight w:val="yellow"/>
        </w:rPr>
        <w:t xml:space="preserve"> Table:</w:t>
      </w:r>
      <w:r w:rsidRPr="0086148F">
        <w:rPr>
          <w:b/>
          <w:sz w:val="20"/>
          <w:szCs w:val="20"/>
        </w:rPr>
        <w:t xml:space="preserve"> </w:t>
      </w:r>
      <w:r w:rsidRPr="00172465">
        <w:rPr>
          <w:b/>
          <w:sz w:val="20"/>
          <w:szCs w:val="20"/>
        </w:rPr>
        <w:t>L</w:t>
      </w:r>
      <w:r w:rsidRPr="0086148F">
        <w:rPr>
          <w:b/>
          <w:sz w:val="20"/>
          <w:szCs w:val="20"/>
        </w:rPr>
        <w:t>ogistic regression analysis model to differentiate patients with COVID-19 from those without COVID-19 based on headache characteristics</w:t>
      </w:r>
    </w:p>
    <w:p w:rsidR="00DB3AC7" w:rsidRPr="0086148F" w:rsidRDefault="00DB3AC7" w:rsidP="00DB3AC7"/>
    <w:tbl>
      <w:tblPr>
        <w:tblStyle w:val="TabloKlavuzu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527"/>
        <w:gridCol w:w="630"/>
        <w:gridCol w:w="576"/>
        <w:gridCol w:w="656"/>
        <w:gridCol w:w="350"/>
        <w:gridCol w:w="576"/>
        <w:gridCol w:w="688"/>
        <w:gridCol w:w="797"/>
        <w:gridCol w:w="775"/>
      </w:tblGrid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Variables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Exp(B)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3AC7" w:rsidRPr="0086148F" w:rsidRDefault="00DB3AC7" w:rsidP="0078195E">
            <w:r w:rsidRPr="0086148F">
              <w:t>95% C.I. for EXP(B)</w:t>
            </w:r>
          </w:p>
        </w:tc>
      </w:tr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B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proofErr w:type="gramStart"/>
            <w:r w:rsidRPr="0086148F">
              <w:t>S.E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Wald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df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Sig.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Lower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Upper</w:t>
            </w:r>
          </w:p>
        </w:tc>
      </w:tr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Bilateral headache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-1.391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0.254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30.081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0.000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0.249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0.151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0.409</w:t>
            </w:r>
          </w:p>
        </w:tc>
      </w:tr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Gender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-0.897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0.173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27.012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0.000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0.408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0.291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0.572</w:t>
            </w:r>
          </w:p>
        </w:tc>
      </w:tr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Analgesic resistance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-1.005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0.236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18.153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0.000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0.366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0.231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0.581</w:t>
            </w:r>
          </w:p>
        </w:tc>
      </w:tr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Duration&gt;72 hours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-0.509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0.248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4.214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0.040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0.601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0.370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0.977</w:t>
            </w:r>
          </w:p>
        </w:tc>
      </w:tr>
      <w:tr w:rsidR="00DB3AC7" w:rsidRPr="0086148F" w:rsidTr="0078195E"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Constant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0.179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0.329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0.297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0.586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>
            <w:r w:rsidRPr="0086148F">
              <w:t>1.196</w:t>
            </w:r>
          </w:p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  <w:tc>
          <w:tcPr>
            <w:tcW w:w="0" w:type="auto"/>
            <w:shd w:val="clear" w:color="auto" w:fill="auto"/>
          </w:tcPr>
          <w:p w:rsidR="00DB3AC7" w:rsidRPr="0086148F" w:rsidRDefault="00DB3AC7" w:rsidP="0078195E"/>
        </w:tc>
      </w:tr>
    </w:tbl>
    <w:p w:rsidR="00DB3AC7" w:rsidRPr="0086148F" w:rsidRDefault="00DB3AC7" w:rsidP="00DB3AC7">
      <w:r w:rsidRPr="0086148F">
        <w:t xml:space="preserve">B: beta (regression coefficient); SE, standard error; </w:t>
      </w:r>
      <w:proofErr w:type="spellStart"/>
      <w:r w:rsidRPr="0086148F">
        <w:t>d.f.</w:t>
      </w:r>
      <w:proofErr w:type="spellEnd"/>
      <w:r w:rsidRPr="0086148F">
        <w:t xml:space="preserve">, degree for freedom; Sig., significance; Exp (B), OR: exponential B, odds ratio. </w:t>
      </w:r>
    </w:p>
    <w:p w:rsidR="00DB3AC7" w:rsidRDefault="00DB3AC7" w:rsidP="00DB3AC7">
      <w:pPr>
        <w:rPr>
          <w:b/>
          <w:sz w:val="20"/>
          <w:szCs w:val="20"/>
        </w:rPr>
      </w:pPr>
    </w:p>
    <w:p w:rsidR="004973B9" w:rsidRDefault="004973B9"/>
    <w:sectPr w:rsidR="004973B9" w:rsidSect="001D20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C7"/>
    <w:rsid w:val="00001422"/>
    <w:rsid w:val="00001E57"/>
    <w:rsid w:val="001869C5"/>
    <w:rsid w:val="001C08A5"/>
    <w:rsid w:val="001D20FC"/>
    <w:rsid w:val="001E7943"/>
    <w:rsid w:val="001F484E"/>
    <w:rsid w:val="0020498B"/>
    <w:rsid w:val="00213619"/>
    <w:rsid w:val="0023179B"/>
    <w:rsid w:val="002675F1"/>
    <w:rsid w:val="002A3489"/>
    <w:rsid w:val="003160CB"/>
    <w:rsid w:val="00390052"/>
    <w:rsid w:val="00393CA2"/>
    <w:rsid w:val="0041519F"/>
    <w:rsid w:val="004973B9"/>
    <w:rsid w:val="004D0FF1"/>
    <w:rsid w:val="005D7A85"/>
    <w:rsid w:val="0060226D"/>
    <w:rsid w:val="00617822"/>
    <w:rsid w:val="0062008E"/>
    <w:rsid w:val="00633829"/>
    <w:rsid w:val="00705B39"/>
    <w:rsid w:val="00725C17"/>
    <w:rsid w:val="00763582"/>
    <w:rsid w:val="007A31CF"/>
    <w:rsid w:val="007C04C3"/>
    <w:rsid w:val="007F541A"/>
    <w:rsid w:val="00821E52"/>
    <w:rsid w:val="00883DA2"/>
    <w:rsid w:val="008A2342"/>
    <w:rsid w:val="008B01A5"/>
    <w:rsid w:val="008D1A24"/>
    <w:rsid w:val="00997135"/>
    <w:rsid w:val="009A5CF7"/>
    <w:rsid w:val="00A21103"/>
    <w:rsid w:val="00A60FB0"/>
    <w:rsid w:val="00AA2034"/>
    <w:rsid w:val="00AF2812"/>
    <w:rsid w:val="00AF3884"/>
    <w:rsid w:val="00B667EE"/>
    <w:rsid w:val="00B95C3C"/>
    <w:rsid w:val="00BB7973"/>
    <w:rsid w:val="00BF2673"/>
    <w:rsid w:val="00C25DCB"/>
    <w:rsid w:val="00D31C7F"/>
    <w:rsid w:val="00D5251A"/>
    <w:rsid w:val="00DB3AC7"/>
    <w:rsid w:val="00E35BC0"/>
    <w:rsid w:val="00E474C4"/>
    <w:rsid w:val="00EA107E"/>
    <w:rsid w:val="00EA1A06"/>
    <w:rsid w:val="00EF7AA6"/>
    <w:rsid w:val="00F47502"/>
    <w:rsid w:val="00FA502B"/>
    <w:rsid w:val="00FB1268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6AFD9E-3DAA-6147-8A2B-4A20E2CC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7"/>
    <w:pPr>
      <w:jc w:val="both"/>
    </w:pPr>
    <w:rPr>
      <w:rFonts w:ascii="Times New Roman" w:eastAsia="Times New Roman" w:hAnsi="Times New Roman" w:cs="Times New Roman"/>
      <w:sz w:val="16"/>
      <w:szCs w:val="16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uygun</dc:creator>
  <cp:keywords/>
  <dc:description/>
  <cp:lastModifiedBy>özge uygun</cp:lastModifiedBy>
  <cp:revision>1</cp:revision>
  <dcterms:created xsi:type="dcterms:W3CDTF">2020-09-17T10:27:00Z</dcterms:created>
  <dcterms:modified xsi:type="dcterms:W3CDTF">2020-09-17T10:27:00Z</dcterms:modified>
</cp:coreProperties>
</file>