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5A96" w14:textId="079E9149" w:rsidR="00F504D7" w:rsidRDefault="00F504D7" w:rsidP="00F504D7">
      <w:pPr>
        <w:pStyle w:val="Head"/>
        <w:jc w:val="left"/>
      </w:pPr>
      <w:r w:rsidRPr="006468C0">
        <w:t>COVID19 outcome prediction: differences between raw laboratory and human pre-processed data</w:t>
      </w:r>
      <w:r>
        <w:t xml:space="preserve"> </w:t>
      </w:r>
    </w:p>
    <w:p w14:paraId="5FAC0E19" w14:textId="77777777" w:rsidR="00667973" w:rsidRPr="007108F5" w:rsidRDefault="00667973" w:rsidP="00667973">
      <w:pPr>
        <w:jc w:val="center"/>
        <w:rPr>
          <w:sz w:val="28"/>
          <w:szCs w:val="28"/>
        </w:rPr>
      </w:pPr>
    </w:p>
    <w:p w14:paraId="61EE73FD" w14:textId="77777777" w:rsidR="006265FB" w:rsidRPr="002653F0" w:rsidRDefault="006265FB" w:rsidP="006265FB">
      <w:pPr>
        <w:pStyle w:val="Authors"/>
        <w:jc w:val="left"/>
        <w:rPr>
          <w:vertAlign w:val="superscript"/>
        </w:rPr>
      </w:pPr>
      <w:r w:rsidRPr="002653F0">
        <w:rPr>
          <w:b/>
        </w:rPr>
        <w:t>Authors:</w:t>
      </w:r>
      <w:r w:rsidRPr="002653F0">
        <w:t xml:space="preserve"> Silvia Gómez-Zorrilla</w:t>
      </w:r>
      <w:r w:rsidRPr="002653F0">
        <w:rPr>
          <w:vertAlign w:val="superscript"/>
        </w:rPr>
        <w:t>1,2,3</w:t>
      </w:r>
      <w:r w:rsidRPr="002653F0">
        <w:t>, Inmaculada López-Montesinos</w:t>
      </w:r>
      <w:r w:rsidRPr="002653F0">
        <w:rPr>
          <w:vertAlign w:val="superscript"/>
        </w:rPr>
        <w:t>1,2,3</w:t>
      </w:r>
      <w:r w:rsidRPr="002653F0">
        <w:t>, Eva Pérez</w:t>
      </w:r>
      <w:r w:rsidRPr="002653F0">
        <w:rPr>
          <w:vertAlign w:val="superscript"/>
        </w:rPr>
        <w:t>4</w:t>
      </w:r>
      <w:r w:rsidRPr="002653F0">
        <w:t>, Pau Pomés</w:t>
      </w:r>
      <w:r w:rsidRPr="002653F0">
        <w:rPr>
          <w:vertAlign w:val="superscript"/>
        </w:rPr>
        <w:t>5</w:t>
      </w:r>
      <w:r w:rsidRPr="002653F0">
        <w:t>, Maria Luisa Sorli</w:t>
      </w:r>
      <w:r w:rsidRPr="002653F0">
        <w:rPr>
          <w:vertAlign w:val="superscript"/>
        </w:rPr>
        <w:t>1,2,3</w:t>
      </w:r>
      <w:r w:rsidRPr="002653F0">
        <w:t>, Robert Güerri-Fernández</w:t>
      </w:r>
      <w:r w:rsidRPr="002653F0">
        <w:rPr>
          <w:vertAlign w:val="superscript"/>
        </w:rPr>
        <w:t xml:space="preserve"> 1,2,3</w:t>
      </w:r>
      <w:r w:rsidRPr="002653F0">
        <w:t>, Santiago Grau</w:t>
      </w:r>
      <w:r w:rsidRPr="002653F0">
        <w:rPr>
          <w:vertAlign w:val="superscript"/>
        </w:rPr>
        <w:t>6</w:t>
      </w:r>
      <w:r w:rsidRPr="002653F0">
        <w:t>, Albert Márquez</w:t>
      </w:r>
      <w:r w:rsidRPr="002653F0">
        <w:rPr>
          <w:vertAlign w:val="superscript"/>
        </w:rPr>
        <w:t>7</w:t>
      </w:r>
      <w:r w:rsidRPr="002653F0">
        <w:t>, Jordi Martínez-Roldán</w:t>
      </w:r>
      <w:r w:rsidRPr="002653F0">
        <w:rPr>
          <w:vertAlign w:val="superscript"/>
        </w:rPr>
        <w:t>8</w:t>
      </w:r>
      <w:r w:rsidRPr="002653F0">
        <w:t>, Alessandro Principe</w:t>
      </w:r>
      <w:r w:rsidRPr="002653F0">
        <w:rPr>
          <w:vertAlign w:val="superscript"/>
        </w:rPr>
        <w:t>2,4,5</w:t>
      </w:r>
      <w:r w:rsidRPr="002653F0">
        <w:t>*, Juan Pablo Horcajada</w:t>
      </w:r>
      <w:r w:rsidRPr="002653F0">
        <w:rPr>
          <w:vertAlign w:val="superscript"/>
        </w:rPr>
        <w:t>1,2,3</w:t>
      </w:r>
    </w:p>
    <w:p w14:paraId="13E49551" w14:textId="77777777" w:rsidR="006265FB" w:rsidRPr="008E391A" w:rsidRDefault="006265FB" w:rsidP="006265FB">
      <w:pPr>
        <w:pStyle w:val="Paragraph"/>
        <w:tabs>
          <w:tab w:val="left" w:pos="8130"/>
        </w:tabs>
        <w:ind w:firstLine="0"/>
        <w:rPr>
          <w:b/>
        </w:rPr>
      </w:pPr>
      <w:r w:rsidRPr="008E391A">
        <w:rPr>
          <w:b/>
        </w:rPr>
        <w:t>Affiliations:</w:t>
      </w:r>
      <w:r>
        <w:rPr>
          <w:b/>
        </w:rPr>
        <w:tab/>
      </w:r>
    </w:p>
    <w:p w14:paraId="43410730" w14:textId="77777777" w:rsidR="006265FB" w:rsidRDefault="006265FB" w:rsidP="006265FB">
      <w:pPr>
        <w:pStyle w:val="Paragraph"/>
        <w:ind w:left="360" w:firstLine="0"/>
      </w:pPr>
      <w:r w:rsidRPr="00B43FDE">
        <w:rPr>
          <w:vertAlign w:val="superscript"/>
        </w:rPr>
        <w:t>1</w:t>
      </w:r>
      <w:bookmarkStart w:id="0" w:name="_Hlk62201602"/>
      <w:r w:rsidRPr="006468C0">
        <w:t xml:space="preserve"> </w:t>
      </w:r>
      <w:r w:rsidRPr="004B5F52">
        <w:t>Infectious Diseases Department, Hospital del Mar, Infectious Pathology and Antimicrobials Research Group (IPAR)</w:t>
      </w:r>
      <w:r>
        <w:t xml:space="preserve"> </w:t>
      </w:r>
      <w:bookmarkEnd w:id="0"/>
    </w:p>
    <w:p w14:paraId="30BD9035" w14:textId="77777777" w:rsidR="006265FB" w:rsidRPr="006468C0" w:rsidRDefault="006265FB" w:rsidP="006265FB">
      <w:pPr>
        <w:pStyle w:val="Paragraph"/>
        <w:ind w:left="360" w:firstLine="0"/>
        <w:rPr>
          <w:lang w:val="es-ES"/>
        </w:rPr>
      </w:pPr>
      <w:r w:rsidRPr="006468C0">
        <w:rPr>
          <w:vertAlign w:val="superscript"/>
          <w:lang w:val="es-ES"/>
        </w:rPr>
        <w:t>2</w:t>
      </w:r>
      <w:r w:rsidRPr="006468C0">
        <w:rPr>
          <w:lang w:val="es-ES"/>
        </w:rPr>
        <w:t xml:space="preserve"> </w:t>
      </w:r>
      <w:proofErr w:type="spellStart"/>
      <w:r w:rsidRPr="006468C0">
        <w:rPr>
          <w:lang w:val="es-ES"/>
        </w:rPr>
        <w:t>Institut</w:t>
      </w:r>
      <w:proofErr w:type="spellEnd"/>
      <w:r w:rsidRPr="006468C0">
        <w:rPr>
          <w:lang w:val="es-ES"/>
        </w:rPr>
        <w:t xml:space="preserve"> Hospital del Mar </w:t>
      </w:r>
      <w:proofErr w:type="spellStart"/>
      <w:r w:rsidRPr="006468C0">
        <w:rPr>
          <w:lang w:val="es-ES"/>
        </w:rPr>
        <w:t>d’Investigacions</w:t>
      </w:r>
      <w:proofErr w:type="spellEnd"/>
      <w:r w:rsidRPr="006468C0">
        <w:rPr>
          <w:lang w:val="es-ES"/>
        </w:rPr>
        <w:t xml:space="preserve"> </w:t>
      </w:r>
      <w:proofErr w:type="spellStart"/>
      <w:r w:rsidRPr="006468C0">
        <w:rPr>
          <w:lang w:val="es-ES"/>
        </w:rPr>
        <w:t>Mèdiques</w:t>
      </w:r>
      <w:proofErr w:type="spellEnd"/>
      <w:r w:rsidRPr="006468C0">
        <w:rPr>
          <w:lang w:val="es-ES"/>
        </w:rPr>
        <w:t xml:space="preserve"> (IMIM), </w:t>
      </w:r>
      <w:proofErr w:type="spellStart"/>
      <w:r w:rsidRPr="006468C0">
        <w:rPr>
          <w:lang w:val="es-ES"/>
        </w:rPr>
        <w:t>Universitat</w:t>
      </w:r>
      <w:proofErr w:type="spellEnd"/>
      <w:r w:rsidRPr="006468C0">
        <w:rPr>
          <w:lang w:val="es-ES"/>
        </w:rPr>
        <w:t xml:space="preserve"> </w:t>
      </w:r>
      <w:proofErr w:type="spellStart"/>
      <w:r w:rsidRPr="006468C0">
        <w:rPr>
          <w:lang w:val="es-ES"/>
        </w:rPr>
        <w:t>Autònoma</w:t>
      </w:r>
      <w:proofErr w:type="spellEnd"/>
      <w:r w:rsidRPr="006468C0">
        <w:rPr>
          <w:lang w:val="es-ES"/>
        </w:rPr>
        <w:t xml:space="preserve"> de Barcelona (UAB)</w:t>
      </w:r>
    </w:p>
    <w:p w14:paraId="73521DF0" w14:textId="77777777" w:rsidR="006265FB" w:rsidRPr="00F95961" w:rsidRDefault="006265FB" w:rsidP="006265FB">
      <w:pPr>
        <w:pStyle w:val="Paragraph"/>
        <w:ind w:left="360" w:firstLine="0"/>
        <w:rPr>
          <w:lang w:val="es-ES"/>
        </w:rPr>
      </w:pPr>
      <w:bookmarkStart w:id="1" w:name="_Hlk62201618"/>
      <w:r w:rsidRPr="00F95961">
        <w:rPr>
          <w:vertAlign w:val="superscript"/>
          <w:lang w:val="es-ES"/>
        </w:rPr>
        <w:t>3</w:t>
      </w:r>
      <w:r w:rsidRPr="00F95961">
        <w:rPr>
          <w:lang w:val="es-ES"/>
        </w:rPr>
        <w:t xml:space="preserve"> CEXS-</w:t>
      </w:r>
      <w:proofErr w:type="spellStart"/>
      <w:r w:rsidRPr="00F95961">
        <w:rPr>
          <w:lang w:val="es-ES"/>
        </w:rPr>
        <w:t>Universitat</w:t>
      </w:r>
      <w:proofErr w:type="spellEnd"/>
      <w:r w:rsidRPr="00F95961">
        <w:rPr>
          <w:lang w:val="es-ES"/>
        </w:rPr>
        <w:t xml:space="preserve"> Pompeu Fabra, Barcelona, </w:t>
      </w:r>
      <w:proofErr w:type="spellStart"/>
      <w:r w:rsidRPr="00F95961">
        <w:rPr>
          <w:lang w:val="es-ES"/>
        </w:rPr>
        <w:t>Spain</w:t>
      </w:r>
      <w:proofErr w:type="spellEnd"/>
    </w:p>
    <w:p w14:paraId="3053747A" w14:textId="77777777" w:rsidR="006265FB" w:rsidRPr="002653F0" w:rsidRDefault="006265FB" w:rsidP="006265FB">
      <w:pPr>
        <w:pStyle w:val="Paragraph"/>
        <w:ind w:left="360" w:firstLine="0"/>
        <w:rPr>
          <w:lang w:val="es-ES"/>
        </w:rPr>
      </w:pPr>
      <w:r w:rsidRPr="002653F0">
        <w:rPr>
          <w:vertAlign w:val="superscript"/>
          <w:lang w:val="es-ES"/>
        </w:rPr>
        <w:t>4</w:t>
      </w:r>
      <w:r w:rsidRPr="002653F0">
        <w:rPr>
          <w:lang w:val="es-ES"/>
        </w:rPr>
        <w:t xml:space="preserve"> </w:t>
      </w:r>
      <w:proofErr w:type="spellStart"/>
      <w:r w:rsidRPr="002653F0">
        <w:rPr>
          <w:lang w:val="es-ES"/>
        </w:rPr>
        <w:t>Epilepsy</w:t>
      </w:r>
      <w:proofErr w:type="spellEnd"/>
      <w:r w:rsidRPr="002653F0">
        <w:rPr>
          <w:lang w:val="es-ES"/>
        </w:rPr>
        <w:t xml:space="preserve"> </w:t>
      </w:r>
      <w:proofErr w:type="spellStart"/>
      <w:r w:rsidRPr="002653F0">
        <w:rPr>
          <w:lang w:val="es-ES"/>
        </w:rPr>
        <w:t>Unit</w:t>
      </w:r>
      <w:proofErr w:type="spellEnd"/>
      <w:r w:rsidRPr="002653F0">
        <w:rPr>
          <w:lang w:val="es-ES"/>
        </w:rPr>
        <w:t xml:space="preserve">, </w:t>
      </w:r>
      <w:proofErr w:type="spellStart"/>
      <w:r w:rsidRPr="002653F0">
        <w:rPr>
          <w:lang w:val="es-ES"/>
        </w:rPr>
        <w:t>Neurology</w:t>
      </w:r>
      <w:proofErr w:type="spellEnd"/>
      <w:r w:rsidRPr="002653F0">
        <w:rPr>
          <w:lang w:val="es-ES"/>
        </w:rPr>
        <w:t xml:space="preserve"> </w:t>
      </w:r>
      <w:proofErr w:type="spellStart"/>
      <w:r w:rsidRPr="002653F0">
        <w:rPr>
          <w:lang w:val="es-ES"/>
        </w:rPr>
        <w:t>Department</w:t>
      </w:r>
      <w:proofErr w:type="spellEnd"/>
      <w:r w:rsidRPr="002653F0">
        <w:rPr>
          <w:lang w:val="es-ES"/>
        </w:rPr>
        <w:t>, Hospital del Mar</w:t>
      </w:r>
    </w:p>
    <w:p w14:paraId="0CA84291" w14:textId="77777777" w:rsidR="006265FB" w:rsidRPr="002653F0" w:rsidRDefault="006265FB" w:rsidP="006265FB">
      <w:pPr>
        <w:pStyle w:val="Paragraph"/>
        <w:ind w:left="360" w:firstLine="0"/>
        <w:rPr>
          <w:lang w:val="es-ES"/>
        </w:rPr>
      </w:pPr>
      <w:r w:rsidRPr="002653F0">
        <w:rPr>
          <w:vertAlign w:val="superscript"/>
          <w:lang w:val="es-ES"/>
        </w:rPr>
        <w:t>5</w:t>
      </w:r>
      <w:r w:rsidRPr="002653F0">
        <w:rPr>
          <w:lang w:val="es-ES"/>
        </w:rPr>
        <w:t xml:space="preserve"> </w:t>
      </w:r>
      <w:proofErr w:type="spellStart"/>
      <w:r w:rsidRPr="002653F0">
        <w:rPr>
          <w:lang w:val="es-ES"/>
        </w:rPr>
        <w:t>Bioenginery-Universitat</w:t>
      </w:r>
      <w:proofErr w:type="spellEnd"/>
      <w:r w:rsidRPr="002653F0">
        <w:rPr>
          <w:lang w:val="es-ES"/>
        </w:rPr>
        <w:t xml:space="preserve"> Pompeu Fabra (UPF), Barcelona, </w:t>
      </w:r>
      <w:proofErr w:type="spellStart"/>
      <w:r w:rsidRPr="002653F0">
        <w:rPr>
          <w:lang w:val="es-ES"/>
        </w:rPr>
        <w:t>Spain</w:t>
      </w:r>
      <w:proofErr w:type="spellEnd"/>
    </w:p>
    <w:p w14:paraId="2E0E6AC7" w14:textId="77777777" w:rsidR="006265FB" w:rsidRPr="002653F0" w:rsidRDefault="006265FB" w:rsidP="006265FB">
      <w:pPr>
        <w:pStyle w:val="Paragraph"/>
        <w:ind w:left="360" w:firstLine="0"/>
        <w:rPr>
          <w:rFonts w:cs="Segoe UI"/>
          <w:shd w:val="clear" w:color="auto" w:fill="FFFFFF"/>
          <w:lang w:val="es-ES"/>
        </w:rPr>
      </w:pPr>
      <w:r w:rsidRPr="002653F0">
        <w:rPr>
          <w:vertAlign w:val="superscript"/>
          <w:lang w:val="es-ES"/>
        </w:rPr>
        <w:t>6</w:t>
      </w:r>
      <w:r w:rsidRPr="002653F0">
        <w:rPr>
          <w:lang w:val="es-ES"/>
        </w:rPr>
        <w:t xml:space="preserve"> </w:t>
      </w:r>
      <w:proofErr w:type="spellStart"/>
      <w:r w:rsidRPr="002653F0">
        <w:rPr>
          <w:rFonts w:cs="Segoe UI"/>
          <w:shd w:val="clear" w:color="auto" w:fill="FFFFFF"/>
          <w:lang w:val="es-ES"/>
        </w:rPr>
        <w:t>Pharmacy</w:t>
      </w:r>
      <w:proofErr w:type="spellEnd"/>
      <w:r w:rsidRPr="002653F0">
        <w:rPr>
          <w:rFonts w:cs="Segoe UI"/>
          <w:shd w:val="clear" w:color="auto" w:fill="FFFFFF"/>
          <w:lang w:val="es-ES"/>
        </w:rPr>
        <w:t xml:space="preserve"> </w:t>
      </w:r>
      <w:proofErr w:type="spellStart"/>
      <w:r w:rsidRPr="002653F0">
        <w:rPr>
          <w:rFonts w:cs="Segoe UI"/>
          <w:shd w:val="clear" w:color="auto" w:fill="FFFFFF"/>
          <w:lang w:val="es-ES"/>
        </w:rPr>
        <w:t>Department</w:t>
      </w:r>
      <w:proofErr w:type="spellEnd"/>
      <w:r w:rsidRPr="002653F0">
        <w:rPr>
          <w:rFonts w:cs="Segoe UI"/>
          <w:shd w:val="clear" w:color="auto" w:fill="FFFFFF"/>
          <w:lang w:val="es-ES"/>
        </w:rPr>
        <w:t xml:space="preserve">, </w:t>
      </w:r>
      <w:proofErr w:type="spellStart"/>
      <w:r w:rsidRPr="002653F0">
        <w:rPr>
          <w:rFonts w:cs="Segoe UI"/>
          <w:shd w:val="clear" w:color="auto" w:fill="FFFFFF"/>
          <w:lang w:val="es-ES"/>
        </w:rPr>
        <w:t>Infectious</w:t>
      </w:r>
      <w:proofErr w:type="spellEnd"/>
      <w:r w:rsidRPr="002653F0">
        <w:rPr>
          <w:rFonts w:cs="Segoe UI"/>
          <w:shd w:val="clear" w:color="auto" w:fill="FFFFFF"/>
          <w:lang w:val="es-ES"/>
        </w:rPr>
        <w:t xml:space="preserve"> </w:t>
      </w:r>
      <w:proofErr w:type="spellStart"/>
      <w:r w:rsidRPr="002653F0">
        <w:rPr>
          <w:rFonts w:cs="Segoe UI"/>
          <w:shd w:val="clear" w:color="auto" w:fill="FFFFFF"/>
          <w:lang w:val="es-ES"/>
        </w:rPr>
        <w:t>Pathology</w:t>
      </w:r>
      <w:proofErr w:type="spellEnd"/>
      <w:r w:rsidRPr="002653F0">
        <w:rPr>
          <w:rFonts w:cs="Segoe UI"/>
          <w:shd w:val="clear" w:color="auto" w:fill="FFFFFF"/>
          <w:lang w:val="es-ES"/>
        </w:rPr>
        <w:t xml:space="preserve"> and </w:t>
      </w:r>
      <w:proofErr w:type="spellStart"/>
      <w:r w:rsidRPr="002653F0">
        <w:rPr>
          <w:rFonts w:cs="Segoe UI"/>
          <w:shd w:val="clear" w:color="auto" w:fill="FFFFFF"/>
          <w:lang w:val="es-ES"/>
        </w:rPr>
        <w:t>Antimicrobials</w:t>
      </w:r>
      <w:proofErr w:type="spellEnd"/>
      <w:r w:rsidRPr="002653F0">
        <w:rPr>
          <w:rFonts w:cs="Segoe UI"/>
          <w:shd w:val="clear" w:color="auto" w:fill="FFFFFF"/>
          <w:lang w:val="es-ES"/>
        </w:rPr>
        <w:t xml:space="preserve"> </w:t>
      </w:r>
      <w:proofErr w:type="spellStart"/>
      <w:r w:rsidRPr="002653F0">
        <w:rPr>
          <w:rFonts w:cs="Segoe UI"/>
          <w:shd w:val="clear" w:color="auto" w:fill="FFFFFF"/>
          <w:lang w:val="es-ES"/>
        </w:rPr>
        <w:t>Research</w:t>
      </w:r>
      <w:proofErr w:type="spellEnd"/>
      <w:r w:rsidRPr="002653F0">
        <w:rPr>
          <w:rFonts w:cs="Segoe UI"/>
          <w:shd w:val="clear" w:color="auto" w:fill="FFFFFF"/>
          <w:lang w:val="es-ES"/>
        </w:rPr>
        <w:t xml:space="preserve"> </w:t>
      </w:r>
      <w:proofErr w:type="spellStart"/>
      <w:r w:rsidRPr="002653F0">
        <w:rPr>
          <w:rFonts w:cs="Segoe UI"/>
          <w:shd w:val="clear" w:color="auto" w:fill="FFFFFF"/>
          <w:lang w:val="es-ES"/>
        </w:rPr>
        <w:t>Group</w:t>
      </w:r>
      <w:proofErr w:type="spellEnd"/>
      <w:r w:rsidRPr="002653F0">
        <w:rPr>
          <w:rFonts w:cs="Segoe UI"/>
          <w:shd w:val="clear" w:color="auto" w:fill="FFFFFF"/>
          <w:lang w:val="es-ES"/>
        </w:rPr>
        <w:t xml:space="preserve"> (IPAR)</w:t>
      </w:r>
    </w:p>
    <w:p w14:paraId="7A230D4F" w14:textId="77777777" w:rsidR="006265FB" w:rsidRDefault="006265FB" w:rsidP="006265FB">
      <w:pPr>
        <w:pStyle w:val="Paragraph"/>
        <w:ind w:left="360" w:firstLine="0"/>
      </w:pPr>
      <w:r>
        <w:rPr>
          <w:vertAlign w:val="superscript"/>
        </w:rPr>
        <w:t>7</w:t>
      </w:r>
      <w:r>
        <w:t xml:space="preserve"> </w:t>
      </w:r>
      <w:r w:rsidRPr="004B5F52">
        <w:t xml:space="preserve">Information and </w:t>
      </w:r>
      <w:proofErr w:type="spellStart"/>
      <w:r w:rsidRPr="004B5F52">
        <w:t>Comunication</w:t>
      </w:r>
      <w:proofErr w:type="spellEnd"/>
      <w:r w:rsidRPr="004B5F52">
        <w:t xml:space="preserve"> System department, Hospital el Mar, Barcelona, Spain.</w:t>
      </w:r>
    </w:p>
    <w:p w14:paraId="2DC298AB" w14:textId="77777777" w:rsidR="006265FB" w:rsidRDefault="006265FB" w:rsidP="006265FB">
      <w:pPr>
        <w:pStyle w:val="Paragraph"/>
        <w:ind w:left="360" w:firstLine="0"/>
      </w:pPr>
      <w:r>
        <w:rPr>
          <w:vertAlign w:val="superscript"/>
        </w:rPr>
        <w:t>8</w:t>
      </w:r>
      <w:r>
        <w:t xml:space="preserve"> </w:t>
      </w:r>
      <w:r w:rsidRPr="004B5F52">
        <w:t>Innovation and Digital Transformation Manager, Hospital del Mar, Barcelona, Spain.</w:t>
      </w:r>
    </w:p>
    <w:p w14:paraId="1D67B376" w14:textId="77777777" w:rsidR="006265FB" w:rsidRDefault="006265FB" w:rsidP="006265FB">
      <w:pPr>
        <w:pStyle w:val="Paragraph"/>
        <w:ind w:left="360" w:firstLine="0"/>
      </w:pPr>
      <w:bookmarkStart w:id="2" w:name="_Hlk62201654"/>
      <w:bookmarkEnd w:id="1"/>
      <w:r>
        <w:t xml:space="preserve">*Corresponding author. Email: </w:t>
      </w:r>
      <w:bookmarkEnd w:id="2"/>
      <w:r>
        <w:t>alessandro.principe@upf.edu.</w:t>
      </w:r>
    </w:p>
    <w:p w14:paraId="79D10796" w14:textId="568E0869" w:rsidR="00CC32CF" w:rsidRDefault="00015F74" w:rsidP="002B71A9">
      <w:pPr>
        <w:pStyle w:val="SMHeading"/>
      </w:pPr>
      <w:r>
        <w:br w:type="page"/>
      </w:r>
      <w:bookmarkStart w:id="3" w:name="Tables"/>
      <w:bookmarkStart w:id="4" w:name="MaterialsMethods"/>
      <w:bookmarkEnd w:id="3"/>
      <w:bookmarkEnd w:id="4"/>
    </w:p>
    <w:p w14:paraId="12923ABF" w14:textId="3517F2F7" w:rsidR="00015F74" w:rsidRDefault="00BB2D2A" w:rsidP="00B9440A">
      <w:pPr>
        <w:pStyle w:val="SMHeading"/>
      </w:pPr>
      <w:r>
        <w:t>Supplementary</w:t>
      </w:r>
      <w:r w:rsidR="00015F74">
        <w:t xml:space="preserve"> Text</w:t>
      </w:r>
      <w:r w:rsidR="00BD7CB7">
        <w:t>:</w:t>
      </w:r>
    </w:p>
    <w:p w14:paraId="72D0C16C" w14:textId="23487BD2" w:rsidR="008D5CB1" w:rsidRDefault="008D5CB1" w:rsidP="00F41C42">
      <w:pPr>
        <w:pStyle w:val="Heading1"/>
        <w:keepLines/>
        <w:spacing w:after="0"/>
        <w:jc w:val="both"/>
      </w:pPr>
      <w:r w:rsidRPr="00F41C42">
        <w:rPr>
          <w:rFonts w:asciiTheme="majorHAnsi" w:eastAsiaTheme="majorEastAsia" w:hAnsiTheme="majorHAnsi" w:cstheme="majorBidi"/>
          <w:bCs w:val="0"/>
          <w:color w:val="365F91" w:themeColor="accent1" w:themeShade="BF"/>
          <w:kern w:val="0"/>
          <w:szCs w:val="32"/>
        </w:rPr>
        <w:t>Results</w:t>
      </w:r>
    </w:p>
    <w:p w14:paraId="0EE46098" w14:textId="7367CD25" w:rsidR="00F74F95" w:rsidRPr="00355362" w:rsidRDefault="000406A0" w:rsidP="00493DCA">
      <w:pPr>
        <w:pStyle w:val="Subheading"/>
        <w:rPr>
          <w:noProof/>
        </w:rPr>
      </w:pPr>
      <w:r>
        <w:rPr>
          <w:noProof/>
        </w:rPr>
        <w:t>Towards a</w:t>
      </w:r>
      <w:r w:rsidR="00945842">
        <w:rPr>
          <w:noProof/>
        </w:rPr>
        <w:t xml:space="preserve"> clinical trial</w:t>
      </w:r>
    </w:p>
    <w:p w14:paraId="4783CAC7" w14:textId="1D236A89" w:rsidR="006A38CD" w:rsidRDefault="00E649F0" w:rsidP="00E649F0">
      <w:pPr>
        <w:pStyle w:val="Text"/>
      </w:pPr>
      <w:r>
        <w:t xml:space="preserve">Since the first wave, </w:t>
      </w:r>
      <w:r w:rsidR="00245D30">
        <w:t xml:space="preserve">the clinical </w:t>
      </w:r>
      <w:r w:rsidR="0063600D">
        <w:t xml:space="preserve">follow-up of COVID19 patients changed and </w:t>
      </w:r>
      <w:r w:rsidR="00F624E3">
        <w:t xml:space="preserve">most of </w:t>
      </w:r>
      <w:r w:rsidR="000D7C3A">
        <w:t>subjects</w:t>
      </w:r>
      <w:r w:rsidR="00F624E3">
        <w:t xml:space="preserve"> with mild symptoms are</w:t>
      </w:r>
      <w:r w:rsidR="00076480">
        <w:t xml:space="preserve"> now</w:t>
      </w:r>
      <w:r w:rsidR="00F624E3">
        <w:t xml:space="preserve"> </w:t>
      </w:r>
      <w:r w:rsidR="00D0765A">
        <w:t xml:space="preserve">monitored </w:t>
      </w:r>
      <w:r w:rsidR="008309A2">
        <w:t>from home</w:t>
      </w:r>
      <w:r w:rsidR="00804967">
        <w:t xml:space="preserve">. </w:t>
      </w:r>
      <w:r w:rsidR="000D7C3A">
        <w:t xml:space="preserve">Home hospitalization </w:t>
      </w:r>
      <w:r w:rsidR="00080B8D">
        <w:t xml:space="preserve">can provide patients with </w:t>
      </w:r>
      <w:r w:rsidR="003009E6">
        <w:t>oxymeters and even low</w:t>
      </w:r>
      <w:r w:rsidR="007601A7">
        <w:t>-grade ventilation devices. For this reason, we tried to build early discharge models t</w:t>
      </w:r>
      <w:r w:rsidR="006D21C2">
        <w:t xml:space="preserve">rying to predict </w:t>
      </w:r>
      <w:r w:rsidR="005E6BBF">
        <w:t xml:space="preserve">the first grade </w:t>
      </w:r>
      <w:r w:rsidR="002552C3">
        <w:t xml:space="preserve">of </w:t>
      </w:r>
      <w:r w:rsidR="008F39AA">
        <w:t xml:space="preserve">oxygen support intensification, which is ventilation beyond nasal cannulae. </w:t>
      </w:r>
      <w:r w:rsidR="004115BD">
        <w:t xml:space="preserve">Only </w:t>
      </w:r>
      <w:r w:rsidR="008E4F10">
        <w:t xml:space="preserve">confirmed SARS-CoV2 patients were used. </w:t>
      </w:r>
      <w:r w:rsidR="004838F9">
        <w:t xml:space="preserve">Moreover, instead of 6 RDF models, 10 were </w:t>
      </w:r>
      <w:r w:rsidR="002552C3">
        <w:t>employed</w:t>
      </w:r>
      <w:r w:rsidR="004838F9">
        <w:t xml:space="preserve"> in order to </w:t>
      </w:r>
      <w:r w:rsidR="001634E5">
        <w:t>provide a human readable percentage increase of deterioration risk, since</w:t>
      </w:r>
      <w:r w:rsidR="00515AA7">
        <w:t xml:space="preserve"> each model would account for a 10% of the risk increase. </w:t>
      </w:r>
      <w:r w:rsidR="006A38CD">
        <w:t xml:space="preserve">The anticipation of EHR </w:t>
      </w:r>
      <w:r w:rsidR="00A749FD">
        <w:t xml:space="preserve">and LR </w:t>
      </w:r>
      <w:r w:rsidR="006A38CD">
        <w:t xml:space="preserve">models </w:t>
      </w:r>
      <w:r w:rsidR="000342B1">
        <w:t xml:space="preserve">were of </w:t>
      </w:r>
      <w:r w:rsidR="00C60876">
        <w:t>3±10 and 5±21 days, respectively</w:t>
      </w:r>
      <w:r w:rsidR="0014130B">
        <w:t>, the sensibility was 100% in both cases</w:t>
      </w:r>
      <w:r w:rsidR="00531862">
        <w:t xml:space="preserve">. However, the </w:t>
      </w:r>
      <w:r w:rsidR="00015F7F">
        <w:t xml:space="preserve">specificity of EHR </w:t>
      </w:r>
      <w:r w:rsidR="00F2605C">
        <w:t xml:space="preserve">models </w:t>
      </w:r>
      <w:r w:rsidR="006D0A63">
        <w:t>overcame that of LR models</w:t>
      </w:r>
      <w:r w:rsidR="001F2296">
        <w:t xml:space="preserve"> (96.1% vs. 95.2%)</w:t>
      </w:r>
      <w:r w:rsidR="006D0A63">
        <w:t>, even</w:t>
      </w:r>
      <w:r w:rsidR="001F2296">
        <w:t xml:space="preserve"> though EHR models </w:t>
      </w:r>
      <w:r w:rsidR="00B072CD">
        <w:t>accounted for more subjects.</w:t>
      </w:r>
      <w:r w:rsidR="001F2296">
        <w:t xml:space="preserve"> </w:t>
      </w:r>
      <w:r w:rsidR="00531862">
        <w:t>ROC-AUCs were 98</w:t>
      </w:r>
      <w:r w:rsidR="00015F7F">
        <w:t>.0% and 97.6%</w:t>
      </w:r>
      <w:r w:rsidR="00B072CD">
        <w:t xml:space="preserve">, </w:t>
      </w:r>
      <w:r w:rsidR="009C3A62">
        <w:t xml:space="preserve">respectively, </w:t>
      </w:r>
      <w:r w:rsidR="0066589D">
        <w:t xml:space="preserve">the same </w:t>
      </w:r>
      <w:r w:rsidR="00B072CD">
        <w:t xml:space="preserve">as </w:t>
      </w:r>
      <w:r w:rsidR="009C3A62">
        <w:t xml:space="preserve">when using the previous </w:t>
      </w:r>
      <w:r w:rsidR="00B90B62">
        <w:t xml:space="preserve">mecanical ventilation </w:t>
      </w:r>
      <w:r w:rsidR="009C3A62">
        <w:t>threshold.</w:t>
      </w:r>
      <w:r w:rsidR="00211831">
        <w:t xml:space="preserve"> </w:t>
      </w:r>
      <w:r w:rsidR="00147A44">
        <w:t xml:space="preserve">When predicting </w:t>
      </w:r>
      <w:r w:rsidR="004C2661">
        <w:t>invasive mechanical ventilation</w:t>
      </w:r>
      <w:r w:rsidR="006D596F">
        <w:t xml:space="preserve"> and ICU translation</w:t>
      </w:r>
      <w:r w:rsidR="0012780F">
        <w:t xml:space="preserve"> with EHR</w:t>
      </w:r>
      <w:r w:rsidR="006D596F">
        <w:t>, c</w:t>
      </w:r>
      <w:r w:rsidR="00034B8B">
        <w:t xml:space="preserve">hanging the number of </w:t>
      </w:r>
      <w:r w:rsidR="00BB3F1C">
        <w:t>RDF</w:t>
      </w:r>
      <w:r w:rsidR="009519A1">
        <w:t>s</w:t>
      </w:r>
      <w:r w:rsidR="00034B8B">
        <w:t xml:space="preserve"> to 10</w:t>
      </w:r>
      <w:r w:rsidR="007507AD">
        <w:t xml:space="preserve"> and </w:t>
      </w:r>
      <w:r w:rsidR="00000EAD">
        <w:t>considering also non laboratory crosschecked</w:t>
      </w:r>
      <w:r w:rsidR="00B749ED">
        <w:t xml:space="preserve"> SARS-CoV2 patients (2023 vs. 1685)</w:t>
      </w:r>
      <w:r w:rsidR="00502CF3">
        <w:t xml:space="preserve"> </w:t>
      </w:r>
      <w:r w:rsidR="00456026">
        <w:t xml:space="preserve">did not </w:t>
      </w:r>
      <w:r w:rsidR="00C84B2A">
        <w:t>significanlty change</w:t>
      </w:r>
      <w:r w:rsidR="00380894">
        <w:t xml:space="preserve"> </w:t>
      </w:r>
      <w:r w:rsidR="00F92D9C">
        <w:t xml:space="preserve">the ROC-AUC, which </w:t>
      </w:r>
      <w:r w:rsidR="00BD0EF5">
        <w:t xml:space="preserve">reached </w:t>
      </w:r>
      <w:r w:rsidR="00380894">
        <w:t>90.8</w:t>
      </w:r>
      <w:r w:rsidR="00252ABD">
        <w:t xml:space="preserve">%, </w:t>
      </w:r>
      <w:r w:rsidR="00983212">
        <w:t xml:space="preserve">with </w:t>
      </w:r>
      <w:r w:rsidR="00380894">
        <w:t>91.9</w:t>
      </w:r>
      <w:r w:rsidR="00252ABD">
        <w:t>% and 89.7% sensitivity and specificity</w:t>
      </w:r>
      <w:r w:rsidR="00B36259">
        <w:t xml:space="preserve">, </w:t>
      </w:r>
      <w:r w:rsidR="00983212">
        <w:t xml:space="preserve">and </w:t>
      </w:r>
      <w:r w:rsidR="00B36259">
        <w:t>antic</w:t>
      </w:r>
      <w:r w:rsidR="00983212">
        <w:t>ipation rates of 5±13 days.</w:t>
      </w:r>
      <w:r w:rsidR="00B9647A">
        <w:t xml:space="preserve"> </w:t>
      </w:r>
      <w:r w:rsidR="00AC7FAA">
        <w:t xml:space="preserve">The new repository is available at: </w:t>
      </w:r>
      <w:hyperlink r:id="rId8" w:history="1">
        <w:r w:rsidR="00BF7B6C">
          <w:rPr>
            <w:rStyle w:val="Hyperlink"/>
          </w:rPr>
          <w:t xml:space="preserve">joricomico/COVID19_trial: </w:t>
        </w:r>
        <w:r w:rsidR="00BF7B6C" w:rsidRPr="00ED4A7A">
          <w:rPr>
            <w:rStyle w:val="Hyperlink"/>
          </w:rPr>
          <w:t>bundle to run clinical trials with COP applied on COVID19</w:t>
        </w:r>
        <w:r w:rsidR="00BF7B6C">
          <w:rPr>
            <w:rStyle w:val="Hyperlink"/>
          </w:rPr>
          <w:t xml:space="preserve"> (github.com)</w:t>
        </w:r>
      </w:hyperlink>
      <w:r w:rsidR="00AC7FAA">
        <w:t>.</w:t>
      </w:r>
    </w:p>
    <w:p w14:paraId="4A4EF75F" w14:textId="43B046B4" w:rsidR="006A38CD" w:rsidRDefault="0039647C" w:rsidP="00D529FA">
      <w:pPr>
        <w:pStyle w:val="Subheading"/>
        <w:rPr>
          <w:noProof/>
        </w:rPr>
      </w:pPr>
      <w:r>
        <w:rPr>
          <w:noProof/>
        </w:rPr>
        <w:t>Variable change through time and models</w:t>
      </w:r>
      <w:r w:rsidR="00945842">
        <w:rPr>
          <w:noProof/>
        </w:rPr>
        <w:t xml:space="preserve"> (laboratory results)</w:t>
      </w:r>
    </w:p>
    <w:p w14:paraId="3EE56B15" w14:textId="46617DE4" w:rsidR="00652B40" w:rsidRPr="002825CB" w:rsidRDefault="00A754F8" w:rsidP="005D1748">
      <w:pPr>
        <w:pStyle w:val="Text"/>
        <w:rPr>
          <w:szCs w:val="20"/>
        </w:rPr>
      </w:pPr>
      <w:r>
        <w:t xml:space="preserve">The most important difference between LR and EHR </w:t>
      </w:r>
      <w:r w:rsidR="008E1DF2">
        <w:t>sources</w:t>
      </w:r>
      <w:r w:rsidR="003B691D">
        <w:t xml:space="preserve"> is the number of variables and therefore the</w:t>
      </w:r>
      <w:r w:rsidR="008E1DF2">
        <w:t>ir</w:t>
      </w:r>
      <w:r w:rsidR="003B691D">
        <w:t xml:space="preserve"> average weight</w:t>
      </w:r>
      <w:r w:rsidR="008E1DF2">
        <w:t xml:space="preserve"> in models</w:t>
      </w:r>
      <w:r w:rsidR="00A81A88">
        <w:t xml:space="preserve">, which was </w:t>
      </w:r>
      <w:r w:rsidR="00E92AE9">
        <w:t>3.2% for EHR and 0.8% for LR.</w:t>
      </w:r>
      <w:r w:rsidR="00FD544C">
        <w:t xml:space="preserve"> </w:t>
      </w:r>
      <w:r w:rsidR="00A75731">
        <w:t>Using E</w:t>
      </w:r>
      <w:r w:rsidR="0095350D">
        <w:t>H</w:t>
      </w:r>
      <w:r w:rsidR="00A75731">
        <w:t xml:space="preserve">R, 9 </w:t>
      </w:r>
      <w:r w:rsidR="00740CE6">
        <w:t xml:space="preserve">different </w:t>
      </w:r>
      <w:r w:rsidR="00A75731">
        <w:t>variables</w:t>
      </w:r>
      <w:r w:rsidR="00AD6504">
        <w:t xml:space="preserve"> </w:t>
      </w:r>
      <w:r w:rsidR="009F0436">
        <w:t xml:space="preserve">out of 31 </w:t>
      </w:r>
      <w:r w:rsidR="00AD6504">
        <w:t>(29%</w:t>
      </w:r>
      <w:r w:rsidR="009F0436">
        <w:t>)</w:t>
      </w:r>
      <w:r w:rsidR="00A75731">
        <w:t xml:space="preserve"> overcame the 3.2% threshold</w:t>
      </w:r>
      <w:r w:rsidR="000E765D">
        <w:t xml:space="preserve"> </w:t>
      </w:r>
      <w:r w:rsidR="00A758C0">
        <w:t>for</w:t>
      </w:r>
      <w:r w:rsidR="00E12CCF">
        <w:t xml:space="preserve"> the prediction of</w:t>
      </w:r>
      <w:r w:rsidR="00A758C0">
        <w:t xml:space="preserve"> all goals, ED, </w:t>
      </w:r>
      <w:r w:rsidR="00740CE6">
        <w:t xml:space="preserve">OSi and ICU. </w:t>
      </w:r>
      <w:r w:rsidR="00B463E1">
        <w:t>Using LR</w:t>
      </w:r>
      <w:r w:rsidR="007A1291">
        <w:t xml:space="preserve"> on the other hand</w:t>
      </w:r>
      <w:r w:rsidR="009F0436">
        <w:t>, 48 (</w:t>
      </w:r>
      <w:r w:rsidR="00CC2E76">
        <w:t xml:space="preserve">40%) for ED, 50 (42%) for </w:t>
      </w:r>
      <w:r w:rsidR="0095350D">
        <w:t xml:space="preserve">OSi and </w:t>
      </w:r>
      <w:r w:rsidR="00546D7E">
        <w:t>53 (44%) for ICU overcame the 0</w:t>
      </w:r>
      <w:r w:rsidR="0083333A">
        <w:t xml:space="preserve">.8% threshold. Therefore, more </w:t>
      </w:r>
      <w:r w:rsidR="00046DAF">
        <w:t xml:space="preserve">LR </w:t>
      </w:r>
      <w:r w:rsidR="0083333A">
        <w:t xml:space="preserve">variables were needed </w:t>
      </w:r>
      <w:r w:rsidR="00046DAF">
        <w:t>to reach all objectives.</w:t>
      </w:r>
      <w:r w:rsidR="00AB2A4A">
        <w:t xml:space="preserve"> Despite that, </w:t>
      </w:r>
      <w:r w:rsidR="00D30F14">
        <w:t xml:space="preserve">LR </w:t>
      </w:r>
      <w:r w:rsidR="00CC1EF0">
        <w:t xml:space="preserve">top </w:t>
      </w:r>
      <w:r w:rsidR="00D30F14">
        <w:t xml:space="preserve">variables were 5 </w:t>
      </w:r>
      <w:r w:rsidR="00A95AD1">
        <w:t xml:space="preserve">times on average </w:t>
      </w:r>
      <w:r w:rsidR="00BD3C3A">
        <w:t>above the</w:t>
      </w:r>
      <w:r w:rsidR="00CC537C">
        <w:t>ir</w:t>
      </w:r>
      <w:r w:rsidR="00BD3C3A">
        <w:t xml:space="preserve"> </w:t>
      </w:r>
      <w:r w:rsidR="00CC537C">
        <w:t>average weight</w:t>
      </w:r>
      <w:r w:rsidR="00BD3C3A">
        <w:t>, while EHR top variables were only 4 times above</w:t>
      </w:r>
      <w:r w:rsidR="00DE3166">
        <w:t xml:space="preserve"> their threshold</w:t>
      </w:r>
      <w:r w:rsidR="00BD3C3A">
        <w:t>.</w:t>
      </w:r>
      <w:r w:rsidR="004A495E">
        <w:t xml:space="preserve"> These differences suggest that </w:t>
      </w:r>
      <w:r w:rsidR="00E37F79">
        <w:t>some LR key variables</w:t>
      </w:r>
      <w:r w:rsidR="007F7026">
        <w:t xml:space="preserve"> account for </w:t>
      </w:r>
      <w:r w:rsidR="00D41BCE">
        <w:t>higher amounts of predictive power than EHR variables</w:t>
      </w:r>
      <w:r w:rsidR="00F25D2F">
        <w:t>, which are more uniformly distributed.</w:t>
      </w:r>
      <w:r w:rsidR="00493D0C">
        <w:t xml:space="preserve"> Interestingly, </w:t>
      </w:r>
      <w:r w:rsidR="00493D0C" w:rsidRPr="00FD39DE">
        <w:rPr>
          <w:i/>
          <w:iCs/>
        </w:rPr>
        <w:t>Interleukin-6</w:t>
      </w:r>
      <w:r w:rsidR="00493D0C">
        <w:t xml:space="preserve"> </w:t>
      </w:r>
      <w:r w:rsidR="00FD39DE">
        <w:t xml:space="preserve">and </w:t>
      </w:r>
      <w:r w:rsidR="00FD39DE" w:rsidRPr="00FD39DE">
        <w:rPr>
          <w:i/>
          <w:iCs/>
        </w:rPr>
        <w:t>Age</w:t>
      </w:r>
      <w:r w:rsidR="00FD39DE">
        <w:t xml:space="preserve"> ranked similarly across sources</w:t>
      </w:r>
      <w:r w:rsidR="00682685">
        <w:t xml:space="preserve">, while </w:t>
      </w:r>
      <w:r w:rsidR="00682685" w:rsidRPr="00682685">
        <w:rPr>
          <w:i/>
          <w:iCs/>
        </w:rPr>
        <w:t>D-dimer</w:t>
      </w:r>
      <w:r w:rsidR="00682685">
        <w:t xml:space="preserve"> </w:t>
      </w:r>
      <w:r w:rsidR="00440D0D">
        <w:t xml:space="preserve">C-reactive protein </w:t>
      </w:r>
      <w:r w:rsidR="00054113">
        <w:t>ranked higher in EHR models.</w:t>
      </w:r>
      <w:r w:rsidR="00CB7ABA">
        <w:t xml:space="preserve"> Moreover, white blood cell formula </w:t>
      </w:r>
      <w:r w:rsidR="003C1FFA">
        <w:t>values (e.g., Neutrophils %) ranked higher than absolute values.</w:t>
      </w:r>
    </w:p>
    <w:p w14:paraId="6E056F56" w14:textId="77777777" w:rsidR="009A5287" w:rsidRDefault="009A5287" w:rsidP="00477182">
      <w:pPr>
        <w:pStyle w:val="SMcaption"/>
      </w:pPr>
    </w:p>
    <w:tbl>
      <w:tblPr>
        <w:tblW w:w="11610" w:type="dxa"/>
        <w:jc w:val="center"/>
        <w:tblLook w:val="04A0" w:firstRow="1" w:lastRow="0" w:firstColumn="1" w:lastColumn="0" w:noHBand="0" w:noVBand="1"/>
      </w:tblPr>
      <w:tblGrid>
        <w:gridCol w:w="2520"/>
        <w:gridCol w:w="1260"/>
        <w:gridCol w:w="2790"/>
        <w:gridCol w:w="1260"/>
        <w:gridCol w:w="2610"/>
        <w:gridCol w:w="1170"/>
      </w:tblGrid>
      <w:tr w:rsidR="000027F5" w:rsidRPr="00DD3C11" w14:paraId="24622B19" w14:textId="77777777" w:rsidTr="00C56625">
        <w:trPr>
          <w:trHeight w:val="288"/>
          <w:jc w:val="center"/>
        </w:trPr>
        <w:tc>
          <w:tcPr>
            <w:tcW w:w="3780" w:type="dxa"/>
            <w:gridSpan w:val="2"/>
            <w:shd w:val="clear" w:color="70AD47" w:fill="70AD47"/>
            <w:noWrap/>
            <w:vAlign w:val="bottom"/>
            <w:hideMark/>
          </w:tcPr>
          <w:p w14:paraId="03935C18" w14:textId="77777777" w:rsidR="00801FC7" w:rsidRPr="00DD3C11" w:rsidRDefault="00801FC7" w:rsidP="00E4791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D3C11">
              <w:rPr>
                <w:rFonts w:ascii="Calibri" w:hAnsi="Calibri" w:cs="Calibri"/>
                <w:b/>
                <w:bCs/>
                <w:color w:val="FFFFFF"/>
              </w:rPr>
              <w:t>Early Discharge</w:t>
            </w:r>
          </w:p>
        </w:tc>
        <w:tc>
          <w:tcPr>
            <w:tcW w:w="4050" w:type="dxa"/>
            <w:gridSpan w:val="2"/>
            <w:shd w:val="clear" w:color="ED7D31" w:fill="ED7D31"/>
            <w:noWrap/>
            <w:vAlign w:val="bottom"/>
            <w:hideMark/>
          </w:tcPr>
          <w:p w14:paraId="4740B20D" w14:textId="77777777" w:rsidR="00801FC7" w:rsidRPr="00DD3C11" w:rsidRDefault="00801FC7" w:rsidP="00E4791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D3C11">
              <w:rPr>
                <w:rFonts w:ascii="Calibri" w:hAnsi="Calibri" w:cs="Calibri"/>
                <w:b/>
                <w:bCs/>
                <w:color w:val="FFFFFF"/>
              </w:rPr>
              <w:t xml:space="preserve">Intensification of </w:t>
            </w:r>
            <w:r>
              <w:rPr>
                <w:rFonts w:ascii="Calibri" w:hAnsi="Calibri" w:cs="Calibri"/>
                <w:b/>
                <w:bCs/>
                <w:color w:val="FFFFFF"/>
              </w:rPr>
              <w:t>OS</w:t>
            </w:r>
          </w:p>
        </w:tc>
        <w:tc>
          <w:tcPr>
            <w:tcW w:w="3780" w:type="dxa"/>
            <w:gridSpan w:val="2"/>
            <w:shd w:val="clear" w:color="000000" w:fill="C00000"/>
            <w:noWrap/>
            <w:vAlign w:val="bottom"/>
            <w:hideMark/>
          </w:tcPr>
          <w:p w14:paraId="17FB7272" w14:textId="77777777" w:rsidR="00801FC7" w:rsidRPr="00DD3C11" w:rsidRDefault="00801FC7" w:rsidP="00E4791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D3C11">
              <w:rPr>
                <w:rFonts w:ascii="Calibri" w:hAnsi="Calibri" w:cs="Calibri"/>
                <w:b/>
                <w:bCs/>
                <w:color w:val="FFFFFF"/>
              </w:rPr>
              <w:t>ICU admission</w:t>
            </w:r>
          </w:p>
        </w:tc>
      </w:tr>
      <w:tr w:rsidR="00B44E90" w:rsidRPr="00DD3C11" w14:paraId="1B54761C" w14:textId="77777777" w:rsidTr="00C56625">
        <w:trPr>
          <w:trHeight w:val="288"/>
          <w:jc w:val="center"/>
        </w:trPr>
        <w:tc>
          <w:tcPr>
            <w:tcW w:w="2520" w:type="dxa"/>
            <w:shd w:val="clear" w:color="70AD47" w:fill="70AD47"/>
            <w:noWrap/>
            <w:vAlign w:val="bottom"/>
            <w:hideMark/>
          </w:tcPr>
          <w:p w14:paraId="651C33F3" w14:textId="77777777" w:rsidR="00801FC7" w:rsidRPr="00DD3C11" w:rsidRDefault="00801FC7" w:rsidP="00E4791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DD3C11">
              <w:rPr>
                <w:rFonts w:ascii="Calibri" w:hAnsi="Calibri" w:cs="Calibri"/>
                <w:b/>
                <w:bCs/>
                <w:color w:val="FFFFFF"/>
              </w:rPr>
              <w:t>variable</w:t>
            </w:r>
          </w:p>
        </w:tc>
        <w:tc>
          <w:tcPr>
            <w:tcW w:w="1260" w:type="dxa"/>
            <w:shd w:val="clear" w:color="70AD47" w:fill="70AD47"/>
            <w:noWrap/>
            <w:vAlign w:val="bottom"/>
            <w:hideMark/>
          </w:tcPr>
          <w:p w14:paraId="0601D144" w14:textId="77777777" w:rsidR="00801FC7" w:rsidRPr="00DD3C11" w:rsidRDefault="00801FC7" w:rsidP="00E4791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D3C11">
              <w:rPr>
                <w:rFonts w:ascii="Calibri" w:hAnsi="Calibri" w:cs="Calibri"/>
                <w:b/>
                <w:bCs/>
                <w:color w:val="FFFFFF"/>
              </w:rPr>
              <w:t>weight</w:t>
            </w:r>
          </w:p>
        </w:tc>
        <w:tc>
          <w:tcPr>
            <w:tcW w:w="2790" w:type="dxa"/>
            <w:shd w:val="clear" w:color="ED7D31" w:fill="ED7D31"/>
            <w:noWrap/>
            <w:vAlign w:val="bottom"/>
            <w:hideMark/>
          </w:tcPr>
          <w:p w14:paraId="0EC5C4F8" w14:textId="77777777" w:rsidR="00801FC7" w:rsidRPr="00DD3C11" w:rsidRDefault="00801FC7" w:rsidP="00E4791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DD3C11">
              <w:rPr>
                <w:rFonts w:ascii="Calibri" w:hAnsi="Calibri" w:cs="Calibri"/>
                <w:b/>
                <w:bCs/>
                <w:color w:val="FFFFFF"/>
              </w:rPr>
              <w:t>variable</w:t>
            </w:r>
          </w:p>
        </w:tc>
        <w:tc>
          <w:tcPr>
            <w:tcW w:w="1260" w:type="dxa"/>
            <w:shd w:val="clear" w:color="ED7D31" w:fill="ED7D31"/>
            <w:noWrap/>
            <w:vAlign w:val="bottom"/>
            <w:hideMark/>
          </w:tcPr>
          <w:p w14:paraId="54221876" w14:textId="77777777" w:rsidR="00801FC7" w:rsidRPr="00DD3C11" w:rsidRDefault="00801FC7" w:rsidP="00E4791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D3C11">
              <w:rPr>
                <w:rFonts w:ascii="Calibri" w:hAnsi="Calibri" w:cs="Calibri"/>
                <w:b/>
                <w:bCs/>
                <w:color w:val="FFFFFF"/>
              </w:rPr>
              <w:t>weight</w:t>
            </w:r>
          </w:p>
        </w:tc>
        <w:tc>
          <w:tcPr>
            <w:tcW w:w="2610" w:type="dxa"/>
            <w:shd w:val="clear" w:color="000000" w:fill="C00000"/>
            <w:noWrap/>
            <w:vAlign w:val="bottom"/>
            <w:hideMark/>
          </w:tcPr>
          <w:p w14:paraId="3B1153D0" w14:textId="77777777" w:rsidR="00801FC7" w:rsidRPr="00DD3C11" w:rsidRDefault="00801FC7" w:rsidP="00E4791C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DD3C11">
              <w:rPr>
                <w:rFonts w:ascii="Calibri" w:hAnsi="Calibri" w:cs="Calibri"/>
                <w:b/>
                <w:bCs/>
                <w:color w:val="FFFFFF"/>
              </w:rPr>
              <w:t>variable</w:t>
            </w:r>
          </w:p>
        </w:tc>
        <w:tc>
          <w:tcPr>
            <w:tcW w:w="1170" w:type="dxa"/>
            <w:shd w:val="clear" w:color="000000" w:fill="C00000"/>
            <w:noWrap/>
            <w:vAlign w:val="bottom"/>
            <w:hideMark/>
          </w:tcPr>
          <w:p w14:paraId="22C93073" w14:textId="77777777" w:rsidR="00801FC7" w:rsidRPr="00DD3C11" w:rsidRDefault="00801FC7" w:rsidP="00E4791C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DD3C11">
              <w:rPr>
                <w:rFonts w:ascii="Calibri" w:hAnsi="Calibri" w:cs="Calibri"/>
                <w:b/>
                <w:bCs/>
                <w:color w:val="FFFFFF"/>
              </w:rPr>
              <w:t>weight</w:t>
            </w:r>
          </w:p>
        </w:tc>
      </w:tr>
      <w:tr w:rsidR="00B44E90" w:rsidRPr="00DD3C11" w14:paraId="186E124A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1243CAD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Total CO2 (arterial)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4DC97C9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4.0%±0.6%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45BC6DB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Age 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68C9D14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4.1%±0.6%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216F96A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Age 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50F314B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3.3%±0.7%</w:t>
            </w:r>
          </w:p>
        </w:tc>
      </w:tr>
      <w:tr w:rsidR="00B44E90" w:rsidRPr="00DD3C11" w14:paraId="0A98B566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1C04CA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paCO2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490C6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3.9%±0.7%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26E1A5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paCO2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F67C8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4.0%±0.6%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6F138AC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paCO2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5BC0B2D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3.2%±0.2%</w:t>
            </w:r>
          </w:p>
        </w:tc>
      </w:tr>
      <w:tr w:rsidR="00B44E90" w:rsidRPr="00DD3C11" w14:paraId="7DFD63B3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1F73C9B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Bicarbonate (arterial)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380F670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3.9%±0.3%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41EF30D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Total CO2 (arterial)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1031405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3.1%±0.4%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4C7CE3E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Interleukin-6 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6E3EE5A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2.8%±0.6%</w:t>
            </w:r>
          </w:p>
        </w:tc>
      </w:tr>
      <w:tr w:rsidR="00B44E90" w:rsidRPr="00DD3C11" w14:paraId="504CD5FD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CE6CC0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Age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D2E081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3.5%±0.2%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9F8B18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Bicarbonate (arterial)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BF156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2.9%±0.4%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71A410D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Total CO2 (arterial)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3E25EEF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2.6%±0.3%</w:t>
            </w:r>
          </w:p>
        </w:tc>
      </w:tr>
      <w:tr w:rsidR="00B44E90" w:rsidRPr="00DD3C11" w14:paraId="7BB86526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2EBA327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paO2 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382EB3C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3.2%±0.6%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72B2D99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paO2 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5253487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2.7%±0.5%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600F840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Urea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4E49AE8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2.4%±0.7%</w:t>
            </w:r>
          </w:p>
        </w:tc>
      </w:tr>
      <w:tr w:rsidR="00B44E90" w:rsidRPr="00DD3C11" w14:paraId="5E22E114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C0D5E4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pH (arterial)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E6FD8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3.2%±0.3%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399B46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pH (arterial)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AADDB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2.6%±0.7%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18095AF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Bicarbonate (arterial)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39F3EEF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2.4%±0.3%</w:t>
            </w:r>
          </w:p>
        </w:tc>
      </w:tr>
      <w:tr w:rsidR="00B44E90" w:rsidRPr="00DD3C11" w14:paraId="25B0CB40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7B219F5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Sat O2 (arterial)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3E9EB9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3.1%±0.3%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4FFF37B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Sat O2 (arterial)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0D08AAF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2.2%±0.5%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20929C0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BNP 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337835B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2.2%±0.5%</w:t>
            </w:r>
          </w:p>
        </w:tc>
      </w:tr>
      <w:tr w:rsidR="00B44E90" w:rsidRPr="00DD3C11" w14:paraId="11912025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A722B1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Base Excess (arterial)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8EB1CB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2.0%±0.2%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EB8934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Interleukin-6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9F6267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2.2%±0.6%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132E74C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Prealbumin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7841DB9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2.2%±1.3%</w:t>
            </w:r>
          </w:p>
        </w:tc>
      </w:tr>
      <w:tr w:rsidR="00B44E90" w:rsidRPr="00DD3C11" w14:paraId="42823E35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078AF69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D-Dimer 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7923062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1.6%±0.2%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4FB0C7D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Neutrophils (%)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4BEF2E5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1.9%±0.4%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31D1920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D-Dimer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4FDBE8E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2.1%±0.6%</w:t>
            </w:r>
          </w:p>
        </w:tc>
      </w:tr>
      <w:tr w:rsidR="00B44E90" w:rsidRPr="00DD3C11" w14:paraId="25F7DE47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99946C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BNP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83C293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1.5%±0.4%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706DBC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(%)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2B551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1.9%±0.7%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126C126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paO2 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5709972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2.1%±0.3%</w:t>
            </w:r>
          </w:p>
        </w:tc>
      </w:tr>
      <w:tr w:rsidR="00B44E90" w:rsidRPr="00DD3C11" w14:paraId="3B0C23E5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311704F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Days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B27246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1.5%±0.1%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07ACF3C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Urea 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11115AD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1.6%±0.6%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61D67E0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Sat O2 (arterial) 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7CAE053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2.0%±0.2%</w:t>
            </w:r>
          </w:p>
        </w:tc>
      </w:tr>
      <w:tr w:rsidR="00B44E90" w:rsidRPr="00DD3C11" w14:paraId="0B297A49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BC9D22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Urea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8FB9F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1.4%±0.2%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CDF3C5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BNP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1A7AC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1.6%±0.6%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51E4B50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Magnesium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4E00AE3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1.9%±1.2%</w:t>
            </w:r>
          </w:p>
        </w:tc>
      </w:tr>
      <w:tr w:rsidR="00B44E90" w:rsidRPr="00DD3C11" w14:paraId="02CD0B48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5144FC5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Interleukin-6 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E925E5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1.4%±0.2%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30391DC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Base Excess (arterial)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1A38E2D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1.6%±0.3%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13623F4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Base Excess (arterial) 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3B212D2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1.7%±0.3%</w:t>
            </w:r>
          </w:p>
        </w:tc>
      </w:tr>
      <w:tr w:rsidR="00B44E90" w:rsidRPr="00DD3C11" w14:paraId="38228E4D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F3676C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C-reactive protein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77EE9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1.3%±0.2%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F09D59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RDW-SD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754434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1.6%±0.2%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46A49A9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LDH 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33CC1A8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1.5%±0.1%</w:t>
            </w:r>
          </w:p>
        </w:tc>
      </w:tr>
      <w:tr w:rsidR="00B44E90" w:rsidRPr="00DD3C11" w14:paraId="2301AF1E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20B9F0F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Creatinine 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185E417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1.3%±0.1%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7303721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Days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663CA4B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1.5%±0.2%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3F88AC1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pH (arterial)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793FE35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1.4%±0.2%</w:t>
            </w:r>
          </w:p>
        </w:tc>
      </w:tr>
      <w:tr w:rsidR="00B44E90" w:rsidRPr="00DD3C11" w14:paraId="49C8A5CD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2A7C70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Neutrophils (%)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8B02B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1.3%±0.2%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4F37ED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Calcium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55FAF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1.5%±0.3%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4988945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RDW-CV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17AFAE9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1.4%±0.4%</w:t>
            </w:r>
          </w:p>
        </w:tc>
      </w:tr>
      <w:tr w:rsidR="00B44E90" w:rsidRPr="00DD3C11" w14:paraId="062CF3CF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318D7AF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Procalcitonin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1BB4541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1.2%±0.2%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700ACCD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LDH 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696085A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1.5%±0.4%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36F4512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ESR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55D9235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1.4%±0.5%</w:t>
            </w:r>
          </w:p>
        </w:tc>
      </w:tr>
      <w:tr w:rsidR="00B44E90" w:rsidRPr="00DD3C11" w14:paraId="5128C1C6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591F8B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Legionella urinary antigen test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FF0D8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1.2%±0.3%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2B78CE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Procalcitonin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6A43F2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1.5%±0.6%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061668A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Neutrophils (%)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24B865D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1.4%±0.4%</w:t>
            </w:r>
          </w:p>
        </w:tc>
      </w:tr>
      <w:tr w:rsidR="00B44E90" w:rsidRPr="00DD3C11" w14:paraId="359F08AE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239EB7C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Troponin T 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1AFC0D0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1.2%±0.1%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528C9BE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D-Dimer 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77470A3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1.4%±0.5%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7B6003D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C-reactive protein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2D807F4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1.3%±0.2%</w:t>
            </w:r>
          </w:p>
        </w:tc>
      </w:tr>
      <w:tr w:rsidR="00B44E90" w:rsidRPr="00DD3C11" w14:paraId="13B2E28A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11CBEC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LDH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D06BC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1.1%±0.1%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4C4938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5D80A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1.3%±0.2%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021C9CC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Days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1EB7FEB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1.3%±0.2%</w:t>
            </w:r>
          </w:p>
        </w:tc>
      </w:tr>
      <w:tr w:rsidR="00B44E90" w:rsidRPr="00DD3C11" w14:paraId="5C19C9CC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50A9738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Base Excess (venous)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0FC16F5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1.1%±0.1%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0AD81A2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T CD4 (%)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1F70AFC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1.3%±0.4%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4113213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RDW-SD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5EDBA8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1.3%±0.3%</w:t>
            </w:r>
          </w:p>
        </w:tc>
      </w:tr>
      <w:tr w:rsidR="00B44E90" w:rsidRPr="00DD3C11" w14:paraId="1813621D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45F818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Calcium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EF82F5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1.1%±0.1%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23E0C8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T CD4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172852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1.3%±0.3%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116B36A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Procalcitonin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591BBC4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1.3%±0.2%</w:t>
            </w:r>
          </w:p>
        </w:tc>
      </w:tr>
      <w:tr w:rsidR="00B44E90" w:rsidRPr="00DD3C11" w14:paraId="6CDC23FD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3AA7B65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(%)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4F0B369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1.1%±0.1%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7C39486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C-reactive protein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3C9B1DD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1.3%±0.2%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25D572B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Glucose 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089F932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1.3%±0.3%</w:t>
            </w:r>
          </w:p>
        </w:tc>
      </w:tr>
      <w:tr w:rsidR="00B44E90" w:rsidRPr="00DD3C11" w14:paraId="0B900607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45D9A4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ALT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5F512F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5E5D19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GGT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A686B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1.2%±0.4%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3B8AF3C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Monocytes (%) 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5CB7A05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1.2%±0.2%</w:t>
            </w:r>
          </w:p>
        </w:tc>
      </w:tr>
      <w:tr w:rsidR="00B44E90" w:rsidRPr="00DD3C11" w14:paraId="22988D2C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2F43DFC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Bicarbonate (venous)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9ECE00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6F5C889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Neutrophils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4BF0432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1.2%±0.2%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5B4DCBD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Creatine kinase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5291132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1.2%±0.1%</w:t>
            </w:r>
          </w:p>
        </w:tc>
      </w:tr>
      <w:tr w:rsidR="00B44E90" w:rsidRPr="00DD3C11" w14:paraId="46FF9EB8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16C87D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ALP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A3CEB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63E489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T CD8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E741B0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1.1%±0.4%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473DC8A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Calcium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2847010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1.2%±0.2%</w:t>
            </w:r>
          </w:p>
        </w:tc>
      </w:tr>
      <w:tr w:rsidR="00B44E90" w:rsidRPr="00DD3C11" w14:paraId="1DDD2FA4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5778DAA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RDW-SD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268078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7BF603A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ALP 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27F8468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1.1%±0.1%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7AB5E5D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(%)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2F3EF8D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1.1%±0.4%</w:t>
            </w:r>
          </w:p>
        </w:tc>
      </w:tr>
      <w:tr w:rsidR="00B44E90" w:rsidRPr="00DD3C11" w14:paraId="10ADA26B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97970C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Neutrophils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2E7959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961ECB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RDW-CV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C3DB4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1.1%±0.1%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60C15EE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7563CC9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1.1%±0.2%</w:t>
            </w:r>
          </w:p>
        </w:tc>
      </w:tr>
      <w:tr w:rsidR="00B44E90" w:rsidRPr="00DD3C11" w14:paraId="04A3A500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703C8E4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E2A33F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1418A1B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Monocytes (%)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10009D2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1.1%±0.1%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029AD44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MCH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08CEE7E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1.1%±0.1%</w:t>
            </w:r>
          </w:p>
        </w:tc>
      </w:tr>
      <w:tr w:rsidR="00B44E90" w:rsidRPr="00DD3C11" w14:paraId="774637A9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4FDA2D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Monocytes (%)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5C14D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98DBD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MCH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36AF7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27F6DC8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Creatinine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4475D3A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1.1%±0.2%</w:t>
            </w:r>
          </w:p>
        </w:tc>
      </w:tr>
      <w:tr w:rsidR="00B44E90" w:rsidRPr="00DD3C11" w14:paraId="47D0BA31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5BD247D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B12C2">
              <w:rPr>
                <w:rFonts w:ascii="Calibri" w:hAnsi="Calibri" w:cs="Calibri"/>
                <w:color w:val="000000"/>
                <w:sz w:val="20"/>
              </w:rPr>
              <w:t>aPTT</w:t>
            </w:r>
            <w:proofErr w:type="spellEnd"/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2D1B60F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0E63DDB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Creatinine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283D843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1.0%±0.2%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5B06A19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MCV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2872667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</w:tr>
      <w:tr w:rsidR="00B44E90" w:rsidRPr="00DD3C11" w14:paraId="59EE748F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D83CC0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Chloride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4372DC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3E3906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MCV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C27448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597C3CE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Platelets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0E39C95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</w:tr>
      <w:tr w:rsidR="00B44E90" w:rsidRPr="00DD3C11" w14:paraId="5AF6FCDA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2BFA7D4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Platelets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43A3B7E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7AD3B0F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Glucose 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263A25C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1.0%±0.3%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1FC899A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pH (venous)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6DBBDC1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1.0%±0.3%</w:t>
            </w:r>
          </w:p>
        </w:tc>
      </w:tr>
      <w:tr w:rsidR="00B44E90" w:rsidRPr="00DD3C11" w14:paraId="7824FC90" w14:textId="77777777" w:rsidTr="00C56625">
        <w:trPr>
          <w:trHeight w:val="233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04F0E5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RDW-CV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E5DC9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44CADE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Bilirubin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CB7517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1.0%±0.2%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0FBD8CC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ALT 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75CDEDB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1.0%±0.2%</w:t>
            </w:r>
          </w:p>
        </w:tc>
      </w:tr>
      <w:tr w:rsidR="00B44E90" w:rsidRPr="00DD3C11" w14:paraId="5932079E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3DFA08F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MCH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3C37A24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3D5A86B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RBC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54EF086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71221CC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Total cholesterol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44B7C5F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1.0%±0.4%</w:t>
            </w:r>
          </w:p>
        </w:tc>
      </w:tr>
      <w:tr w:rsidR="00B44E90" w:rsidRPr="00DD3C11" w14:paraId="0EB3E848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F5B1A6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ESR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10D1B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0.9%±0.2%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14AFDE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Creatine kinase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FC44C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0CE6DA9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ALP 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0F5D708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</w:tr>
      <w:tr w:rsidR="00B44E90" w:rsidRPr="00DD3C11" w14:paraId="2580E3C4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26E2CCD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MCV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65D89D1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4210089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CD4/CD8 ratio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7C25BB3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1.0%±0.2%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4E8C996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PDW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02E4FB1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1.0%±0.2%</w:t>
            </w:r>
          </w:p>
        </w:tc>
      </w:tr>
      <w:tr w:rsidR="00B44E90" w:rsidRPr="00DD3C11" w14:paraId="3D75CD45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CAEA43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Glucose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DE531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627021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Plasma Lactate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87C03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1.0%±0.3%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7FE5B69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Phosphate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2A9BFE4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1.0%±0.4%</w:t>
            </w:r>
          </w:p>
        </w:tc>
      </w:tr>
      <w:tr w:rsidR="00B44E90" w:rsidRPr="00DD3C11" w14:paraId="435913E6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6B5098B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B12C2">
              <w:rPr>
                <w:rFonts w:ascii="Calibri" w:hAnsi="Calibri" w:cs="Calibri"/>
                <w:color w:val="000000"/>
                <w:sz w:val="20"/>
              </w:rPr>
              <w:t>aPTT</w:t>
            </w:r>
            <w:proofErr w:type="spellEnd"/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ratio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0E00B89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4CB5832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Hematocrit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6A74EE9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22F11F7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RBC 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752176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1.0%±0.1%</w:t>
            </w:r>
          </w:p>
        </w:tc>
      </w:tr>
      <w:tr w:rsidR="00B44E90" w:rsidRPr="00DD3C11" w14:paraId="4F227C3E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B5D48F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Proteins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C48FC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3CCCF0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Magnesium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32E7A6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1.0%±0.6%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1919E8B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Monocytes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120118D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</w:tr>
      <w:tr w:rsidR="00B44E90" w:rsidRPr="00DD3C11" w14:paraId="1D29C6C8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790540B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Creatine kinase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98FD54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7DF55B0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WBC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48B3219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0.9%±0.2%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1B1D9C3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GGT 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59FEC07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0.9%±0.2%</w:t>
            </w:r>
          </w:p>
        </w:tc>
      </w:tr>
      <w:tr w:rsidR="00B44E90" w:rsidRPr="00DD3C11" w14:paraId="39A00EC3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6BBB9A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AST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CF059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315CF8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T CD8 (%)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6C7B3A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0.9%±0.4%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664300C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Plasma Lactate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3382BD2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</w:tr>
      <w:tr w:rsidR="00B44E90" w:rsidRPr="00DD3C11" w14:paraId="588D70BF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4C63172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Ferritin 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107BCB2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782D291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Chloride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778DA78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0.9%±0.2%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1061AA9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Troponin T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0DD8FDC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0.9%±0.2%</w:t>
            </w:r>
          </w:p>
        </w:tc>
      </w:tr>
      <w:tr w:rsidR="00B44E90" w:rsidRPr="00DD3C11" w14:paraId="66F6BCCF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52B2FF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Bilirubin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4DC1C1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B2EF79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Platelets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3DC8BF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7EF3044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B12C2">
              <w:rPr>
                <w:rFonts w:ascii="Calibri" w:hAnsi="Calibri" w:cs="Calibri"/>
                <w:color w:val="000000"/>
                <w:sz w:val="20"/>
              </w:rPr>
              <w:t>aPTT</w:t>
            </w:r>
            <w:proofErr w:type="spellEnd"/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4BF73D4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</w:tr>
      <w:tr w:rsidR="00B44E90" w:rsidRPr="00DD3C11" w14:paraId="76BD87BF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22B6403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RBC 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44CB6BB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4AEFC8C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ALT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6BF68C2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6C6C8D4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AST 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B751BF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</w:tr>
      <w:tr w:rsidR="00B44E90" w:rsidRPr="00DD3C11" w14:paraId="4F5638B6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00DA81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Plasma Lactate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6F758F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A1C11C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PDW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E305A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7D5C323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Chloride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54FED5A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</w:tr>
      <w:tr w:rsidR="00B44E90" w:rsidRPr="00DD3C11" w14:paraId="29EA84E6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39CA72F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WBC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26A82C5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1CB9E69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AST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22CEFDC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79EB72F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B12C2">
              <w:rPr>
                <w:rFonts w:ascii="Calibri" w:hAnsi="Calibri" w:cs="Calibri"/>
                <w:color w:val="000000"/>
                <w:sz w:val="20"/>
              </w:rPr>
              <w:t>aPTT</w:t>
            </w:r>
            <w:proofErr w:type="spellEnd"/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ratio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58A76C1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</w:tr>
      <w:tr w:rsidR="00B44E90" w:rsidRPr="00DD3C11" w14:paraId="5E830EE4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4F93D8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MCHC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8BA32F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A412BA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Hemoglobin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34994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39E9436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Hematocrit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44CBEE5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</w:tr>
      <w:tr w:rsidR="00B44E90" w:rsidRPr="00DD3C11" w14:paraId="60667723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64DF1CC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Prothrombin time (%)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E5F602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0BF9511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MCHC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76A81E9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2AAB6FA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Neutrophils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0DE68AC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</w:tr>
      <w:tr w:rsidR="00B44E90" w:rsidRPr="00DD3C11" w14:paraId="14E4587A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5F5762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Hematocrit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C3448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22816D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Monocytes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018B0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0140541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Hemoglobin 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1BE7563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</w:tr>
      <w:tr w:rsidR="00B44E90" w:rsidRPr="00DD3C11" w14:paraId="3762FFE5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1722F80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GGT 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3392137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0601F2D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B12C2">
              <w:rPr>
                <w:rFonts w:ascii="Calibri" w:hAnsi="Calibri" w:cs="Calibri"/>
                <w:color w:val="000000"/>
                <w:sz w:val="20"/>
              </w:rPr>
              <w:t>aPTT</w:t>
            </w:r>
            <w:proofErr w:type="spellEnd"/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13CF120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09F3F49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WBC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6EFB3D1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</w:tr>
      <w:tr w:rsidR="00B44E90" w:rsidRPr="00DD3C11" w14:paraId="37B35035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BFFCB5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Triglycerides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285F3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ADA553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B12C2">
              <w:rPr>
                <w:rFonts w:ascii="Calibri" w:hAnsi="Calibri" w:cs="Calibri"/>
                <w:color w:val="000000"/>
                <w:sz w:val="20"/>
              </w:rPr>
              <w:t>aPTT</w:t>
            </w:r>
            <w:proofErr w:type="spellEnd"/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ratio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04FA3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2AFF45B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Potassium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1E22CA3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</w:tr>
      <w:tr w:rsidR="00B44E90" w:rsidRPr="00DD3C11" w14:paraId="0FBFCE70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7518C0A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PDW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1A3470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7FE9476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Triglycerides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33648B5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0.8%±0.3%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334345E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MCHC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36DE787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0.9%±0.1%</w:t>
            </w:r>
          </w:p>
        </w:tc>
      </w:tr>
      <w:tr w:rsidR="00B44E90" w:rsidRPr="00DD3C11" w14:paraId="05B624F0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C5F5F6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Monocytes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DCB00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A5A488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Prothrombin time (%)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9C1A5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33AA484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Prothrombin time (%)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26A43C9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0.8%±0.1%</w:t>
            </w:r>
          </w:p>
        </w:tc>
      </w:tr>
      <w:tr w:rsidR="00B44E90" w:rsidRPr="00DD3C11" w14:paraId="03AE5E5F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37B3ACC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T CD4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02F7505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64D1E67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Potassium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6383E47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55E0634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T CD4 (%)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C4E520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0.8%±0.2%</w:t>
            </w:r>
          </w:p>
        </w:tc>
      </w:tr>
      <w:tr w:rsidR="00B44E90" w:rsidRPr="00DD3C11" w14:paraId="6612C4C8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36704F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Hemoglobin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236D9F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D53B45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Troponin 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3A338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0.8%±0.3%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46D7149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Triglycerides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443CA85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0.8%±0.2%</w:t>
            </w:r>
          </w:p>
        </w:tc>
      </w:tr>
      <w:tr w:rsidR="00B44E90" w:rsidRPr="00DD3C11" w14:paraId="462DF6CE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791408D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Eosinophils (%)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10A323C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5DA13C4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Albumin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0D922A3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0.7%±0.2%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3B6B33B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Prothrombin time ratio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AABA6E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0.8%±0.1%</w:t>
            </w:r>
          </w:p>
        </w:tc>
      </w:tr>
      <w:tr w:rsidR="00B44E90" w:rsidRPr="00DD3C11" w14:paraId="2D4E6E14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C621A5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Prothrombin time ratio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99963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123586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ESR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040EC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0.7%±0.2%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2AB80FE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Albumin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72471DC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0.8%±0.1%</w:t>
            </w:r>
          </w:p>
        </w:tc>
      </w:tr>
      <w:tr w:rsidR="00B44E90" w:rsidRPr="00DD3C11" w14:paraId="085E2510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34E1C8D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Potassium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4E19B5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6E11594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Sodium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2A9A0E1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731B95B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Sodium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044C90D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0.8%±0.1%</w:t>
            </w:r>
          </w:p>
        </w:tc>
      </w:tr>
      <w:tr w:rsidR="00B44E90" w:rsidRPr="00DD3C11" w14:paraId="1945D805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EC081D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CD4/CD8 ratio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41392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33B055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Prothrombin time ratio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A48582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2469EA6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Bilirubin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0E52CB1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0.8%±0.1%</w:t>
            </w:r>
          </w:p>
        </w:tc>
      </w:tr>
      <w:tr w:rsidR="00B44E90" w:rsidRPr="00DD3C11" w14:paraId="20C7E834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277D072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Sodium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0288BDD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52E6891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Proteins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7125F77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0.6%±0.3%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5894A03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Ferritin 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58D28F1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0.7%±0.3%</w:t>
            </w:r>
          </w:p>
        </w:tc>
      </w:tr>
      <w:tr w:rsidR="00B44E90" w:rsidRPr="00DD3C11" w14:paraId="0A12DEFE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023E8F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T CD4 (%)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ADDA1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493CC2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Ferritin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0C493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13609FC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CD4/CD8 ratio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7CDECAB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0.7%±0.2%</w:t>
            </w:r>
          </w:p>
        </w:tc>
      </w:tr>
      <w:tr w:rsidR="00B44E90" w:rsidRPr="00DD3C11" w14:paraId="33429608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11015EF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T CD8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7CA4CF0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0.7%±0.2%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59A7C45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INR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14252F3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0.6%±0.2%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71919F2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INR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7A94A31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</w:tr>
      <w:tr w:rsidR="00B44E90" w:rsidRPr="00DD3C11" w14:paraId="587DA879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C828C8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Eosinophils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568FF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2EDD6D3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Zinc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7FB3AE3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0.6%±0.3%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2B2E9E7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Bicarbonate (venous)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3682F1A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</w:tr>
      <w:tr w:rsidR="00B44E90" w:rsidRPr="00DD3C11" w14:paraId="2535E18E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67B5201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Albumin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2A9E09E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BEE7EB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pH (venous)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801B3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0.6%±0.3%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68A17DB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Zinc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661138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0.7%±0.2%</w:t>
            </w:r>
          </w:p>
        </w:tc>
      </w:tr>
      <w:tr w:rsidR="00B44E90" w:rsidRPr="00DD3C11" w14:paraId="33745EB1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F1AC61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Zinc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2D974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0.7%±0.2%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2D123AF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Eosinophils (%)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2F6DE9D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26B055C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Vitamin D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55D6FB5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</w:tr>
      <w:tr w:rsidR="00B44E90" w:rsidRPr="00DD3C11" w14:paraId="46566462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1261875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Total cholesterol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4291E2A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1B2116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Phosphate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51FD8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0.6%±0.2%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7F78C3F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Base Excess (venous)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5703C2D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</w:tr>
      <w:tr w:rsidR="00B44E90" w:rsidRPr="00DD3C11" w14:paraId="4585863A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7B55D8D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  <w:highlight w:val="green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T CD8 (%)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276DB19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36439C5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pvO2 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5AD19A4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0.5%±0.2%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3619A75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T CD8 (%)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135518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</w:tr>
      <w:tr w:rsidR="00B44E90" w:rsidRPr="00DD3C11" w14:paraId="6585C07C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E7B454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pvCO2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A1D5EF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3D180C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Eosinophils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46119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561E53C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T CD8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6481E04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</w:tr>
      <w:tr w:rsidR="00B44E90" w:rsidRPr="00DD3C11" w14:paraId="317EA226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573633D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INR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56F439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0.7%±0.1%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288140E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Sat O2 (venous)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01A32B6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0.5%±0.2%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6BC5716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Lymphocytes T CD4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09B50F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</w:tr>
      <w:tr w:rsidR="00B44E90" w:rsidRPr="00DD3C11" w14:paraId="1226A111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21F540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Basophils (%)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E7BB0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2FDF81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Immunoglobulin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A (Ig A)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24802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4755F9B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Eosinophils (%)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4858CFB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</w:tr>
      <w:tr w:rsidR="00B44E90" w:rsidRPr="00DD3C11" w14:paraId="7D228E9E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6EFDB20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pvO2 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15A2F6B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27DF3A8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Immunoglobulin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M (Ig M)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39D4E61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0.5%±0.2%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378B0DA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Vitamin B12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6C9722E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0.6%±0.2%</w:t>
            </w:r>
          </w:p>
        </w:tc>
      </w:tr>
      <w:tr w:rsidR="00B44E90" w:rsidRPr="00DD3C11" w14:paraId="5C240847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1C6451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Sat O2 (venous)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E55BA1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9D1787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Vitamin 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4078B8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4081990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Eosinophils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46D7B41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</w:tr>
      <w:tr w:rsidR="00B44E90" w:rsidRPr="00DD3C11" w14:paraId="1EA6229E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6D5E81A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Lipase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DA0D92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7EB7A62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Basophils (%)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666EF39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0.4%±0.0%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49841A1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pvCO2 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6BEA82B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</w:tr>
      <w:tr w:rsidR="00B44E90" w:rsidRPr="00DD3C11" w14:paraId="501F29EE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68AC36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pH (venous)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477A64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D33CE4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Total cholesterol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7D992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6869C78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Proteins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3D17AB9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0.6%±0.2%</w:t>
            </w:r>
          </w:p>
        </w:tc>
      </w:tr>
      <w:tr w:rsidR="00B44E90" w:rsidRPr="00DD3C11" w14:paraId="25C2E3DB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56987A6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Plasma Fibrinogen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329BE32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166626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Uric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FD9E05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148011B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Basophils (%)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1033940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0.5%±0.1%</w:t>
            </w:r>
          </w:p>
        </w:tc>
      </w:tr>
      <w:tr w:rsidR="00B44E90" w:rsidRPr="00DD3C11" w14:paraId="4C737D77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0AC001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Parathyroid Hormone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8BEFF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0.5%±0.2%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10816B0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  <w:highlight w:val="green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Base Excess (venous)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4FF41AB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  <w:highlight w:val="green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62B21EF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  <w:highlight w:val="green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Immunoglobulin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A (Ig A)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665B024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  <w:highlight w:val="green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0.5%±0.1%</w:t>
            </w:r>
          </w:p>
        </w:tc>
      </w:tr>
      <w:tr w:rsidR="00B44E90" w:rsidRPr="00DD3C11" w14:paraId="35A607C5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5A11AF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Basophils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95572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C3DDEB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pvCO2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96FBD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474902C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Uric acid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56FCA72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0.5%±0.1%</w:t>
            </w:r>
          </w:p>
        </w:tc>
      </w:tr>
      <w:tr w:rsidR="00B44E90" w:rsidRPr="00DD3C11" w14:paraId="53C0D852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3D84E0A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Transferrin saturation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2DABBA4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30159AB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Transferrin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47DE554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0.4%±0.3%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377A27A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Reticulocytes (%)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644F5D7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0.5%±0.2%</w:t>
            </w:r>
          </w:p>
        </w:tc>
      </w:tr>
      <w:tr w:rsidR="00B44E90" w:rsidRPr="00DD3C11" w14:paraId="2796DEB8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837AFE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Phosphate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653E1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60CB3A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Plasma Fibrinogen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054F4B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363C213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Reticulocyte Hb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3BD2F89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0.5%±0.2%</w:t>
            </w:r>
          </w:p>
        </w:tc>
      </w:tr>
      <w:tr w:rsidR="00B44E90" w:rsidRPr="00DD3C11" w14:paraId="718FA2C9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61EAFEF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Magnesium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0F44974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556BA20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Basophils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1D33EBB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6BE5B68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Reticulocytes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6698089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</w:tr>
      <w:tr w:rsidR="00B44E90" w:rsidRPr="00DD3C11" w14:paraId="2313C177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E64EFD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Uric acid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15281B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5465B0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Bicarbonate (venous)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71F4C4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06BEEC4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pvO2 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657A622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</w:tr>
      <w:tr w:rsidR="00B44E90" w:rsidRPr="00DD3C11" w14:paraId="2CD710C1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47F1C98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Reticulocytes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21CCE49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4C6B00B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Vitamin B12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4007A10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7FBA8CD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Sat O2 (venous)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32BA36D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</w:tr>
      <w:tr w:rsidR="00B44E90" w:rsidRPr="00DD3C11" w14:paraId="443B6CF3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1AA817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Reticulocyte Hemoglobin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536C69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16E814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Lipase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63420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75E83B3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Basophils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69357E4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</w:tr>
      <w:tr w:rsidR="00B44E90" w:rsidRPr="00DD3C11" w14:paraId="2394C650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36CF6E5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Reticulocytes (%)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4EC98F3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2588425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Reticulocytes (10</w:t>
            </w:r>
            <w:r w:rsidRPr="007B12C2">
              <w:rPr>
                <w:rFonts w:ascii="Calibri" w:hAnsi="Calibri" w:cs="Calibri"/>
                <w:color w:val="000000"/>
                <w:sz w:val="20"/>
                <w:vertAlign w:val="superscript"/>
              </w:rPr>
              <w:t>3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/µL)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7765EC2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1C2096B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Immunoglobulin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G (Ig G)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2943A81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</w:tr>
      <w:tr w:rsidR="00B44E90" w:rsidRPr="00DD3C11" w14:paraId="34584565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D88AEE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Sex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FA9899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611156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Folate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6E708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5FDEA9C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Plasma Fibrinogen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7C250C5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</w:tr>
      <w:tr w:rsidR="00B44E90" w:rsidRPr="00DD3C11" w14:paraId="15D2CB16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396B060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Immunoglobulin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A (Ig A)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59D3790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20D6379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Reticulocytes (%)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551F6AF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3157F1D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Immunoglobulin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M (Ig M)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5E5394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</w:tr>
      <w:tr w:rsidR="00B44E90" w:rsidRPr="00DD3C11" w14:paraId="5D43CEF7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2C5B54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Immunoglobulin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M</w:t>
            </w:r>
            <w:r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>(Ig M)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C7432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868D08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Immunoglobulin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A (Ig A)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8152B0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5F1F9C4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Folate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5ABB449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</w:tr>
      <w:tr w:rsidR="00B44E90" w:rsidRPr="00DD3C11" w14:paraId="42D5CA87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0D67BFB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Vitamin D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603264C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085056C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B12C2">
              <w:rPr>
                <w:rFonts w:ascii="Calibri" w:hAnsi="Calibri" w:cs="Calibri"/>
                <w:color w:val="000000"/>
                <w:sz w:val="20"/>
              </w:rPr>
              <w:t>Ferrum</w:t>
            </w:r>
            <w:proofErr w:type="spellEnd"/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0D1E8E4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6845F0A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Legionella urinary antigen test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5E2EC20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</w:tr>
      <w:tr w:rsidR="00B44E90" w:rsidRPr="00DD3C11" w14:paraId="75CD5D4F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EC763E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Transferrin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514E7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43D17F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Prealbumin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6CDDAB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724C72D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Lipase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79DEDCE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</w:tr>
      <w:tr w:rsidR="00B44E90" w:rsidRPr="00DD3C11" w14:paraId="64C925FE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6281A65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Vitamin B12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22D7678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3CAC16B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Sex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30F02E7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0932753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B12C2">
              <w:rPr>
                <w:rFonts w:ascii="Calibri" w:hAnsi="Calibri" w:cs="Calibri"/>
                <w:color w:val="000000"/>
                <w:sz w:val="20"/>
              </w:rPr>
              <w:t>Ferrum</w:t>
            </w:r>
            <w:proofErr w:type="spellEnd"/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6FC7F32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0.2%±0.1%</w:t>
            </w:r>
          </w:p>
        </w:tc>
      </w:tr>
      <w:tr w:rsidR="00B44E90" w:rsidRPr="00DD3C11" w14:paraId="7827A0AC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3C36BE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B12C2">
              <w:rPr>
                <w:rFonts w:ascii="Calibri" w:hAnsi="Calibri" w:cs="Calibri"/>
                <w:color w:val="000000"/>
                <w:sz w:val="20"/>
              </w:rPr>
              <w:t>Tirotropin</w:t>
            </w:r>
            <w:proofErr w:type="spellEnd"/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(TSH)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B0F1C3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0.4%±0.0%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DBB272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Reticulocyte Hemoglobin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D9D89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5356CF0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Sex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445125E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0.2%±0.1%</w:t>
            </w:r>
          </w:p>
        </w:tc>
      </w:tr>
      <w:tr w:rsidR="00B44E90" w:rsidRPr="00DD3C11" w14:paraId="6822534B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234BE89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iCs/>
                <w:color w:val="000000"/>
                <w:sz w:val="20"/>
              </w:rPr>
              <w:t>Immunoglobulin</w:t>
            </w: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G (Ig G)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32259C6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67ECF45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B12C2">
              <w:rPr>
                <w:rFonts w:ascii="Calibri" w:hAnsi="Calibri" w:cs="Calibri"/>
                <w:color w:val="000000"/>
                <w:sz w:val="20"/>
              </w:rPr>
              <w:t>Tirotropin</w:t>
            </w:r>
            <w:proofErr w:type="spellEnd"/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(TSH)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0866121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0.2%±0.1%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4ED17C9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HDL cholesterol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55A64E9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0.2%±0.1%</w:t>
            </w:r>
          </w:p>
        </w:tc>
      </w:tr>
      <w:tr w:rsidR="00B44E90" w:rsidRPr="00DD3C11" w14:paraId="3EDA76D9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7E24CE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HDL cholesterol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FADCA1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0.3%±0.1%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92D708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Legionella urinary antigen test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41AA2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0.2%±0.1%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152A6BB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Transferrin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177356E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0.2%±0.1%</w:t>
            </w:r>
          </w:p>
        </w:tc>
      </w:tr>
      <w:tr w:rsidR="00B44E90" w:rsidRPr="00DD3C11" w14:paraId="3CAEAB28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5E0E37E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B12C2">
              <w:rPr>
                <w:rFonts w:ascii="Calibri" w:hAnsi="Calibri" w:cs="Calibri"/>
                <w:color w:val="000000"/>
                <w:sz w:val="20"/>
              </w:rPr>
              <w:t>Ferrum</w:t>
            </w:r>
            <w:proofErr w:type="spellEnd"/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62826C6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4086B2E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LDL cholesterol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0A8ABDF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07A7338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LDL cholesterol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346FB63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0.2%±0.1%</w:t>
            </w:r>
          </w:p>
        </w:tc>
      </w:tr>
      <w:tr w:rsidR="00B44E90" w:rsidRPr="00DD3C11" w14:paraId="540C0FCE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3E9007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LDL cholesterol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C2998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088F63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Transferrin saturation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5B312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427907A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proofErr w:type="spellStart"/>
            <w:r w:rsidRPr="007B12C2">
              <w:rPr>
                <w:rFonts w:ascii="Calibri" w:hAnsi="Calibri" w:cs="Calibri"/>
                <w:color w:val="000000"/>
                <w:sz w:val="20"/>
              </w:rPr>
              <w:t>Tirotropin</w:t>
            </w:r>
            <w:proofErr w:type="spellEnd"/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 (TSH)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38273AE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0.2%±0.1%</w:t>
            </w:r>
          </w:p>
        </w:tc>
      </w:tr>
      <w:tr w:rsidR="00B44E90" w:rsidRPr="00DD3C11" w14:paraId="5B35565C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6DC721C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Folate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0B67EE9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2D38F74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HDL cholesterol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7D73A2F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583F590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Urinary sediment (Gram) 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146910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</w:tr>
      <w:tr w:rsidR="00B44E90" w:rsidRPr="00DD3C11" w14:paraId="7FD28CCB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83EEB7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Urinary sediment (Gram)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0DB876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0E7229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Urinary sediment (Gram)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27957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0.1%±0.1%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5F9E959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Free thyroxine (T4)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61DD3F4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0.1%±0.1%</w:t>
            </w:r>
          </w:p>
        </w:tc>
      </w:tr>
      <w:tr w:rsidR="00B44E90" w:rsidRPr="00DD3C11" w14:paraId="4D3B12A5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4B70327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Urine culture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2A4C0C1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0.3%±0.0%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4277BB0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Parathyroid Hormone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064F912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0.1%±0.1%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35805E2F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Transferrin Saturation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8AA02D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0.1%±0.1%</w:t>
            </w:r>
          </w:p>
        </w:tc>
      </w:tr>
      <w:tr w:rsidR="00B44E90" w:rsidRPr="00DD3C11" w14:paraId="445A1F6C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E47346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Albumin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CB26C4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0.2%±0.0%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3F081E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Urine culture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B3ADB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741D286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Urine culture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1DA454E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</w:tr>
      <w:tr w:rsidR="00B44E90" w:rsidRPr="00DD3C11" w14:paraId="3E2DF975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5074559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Prealbumin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1A04562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0.2%±0.0%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3369D6E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Albumin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7E6659B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378CE71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Glycated hemoglobin (%)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338987D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</w:tr>
      <w:tr w:rsidR="00B44E90" w:rsidRPr="00DD3C11" w14:paraId="03C72BF4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4C7E4F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Glycated hemoglobin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A8451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0.2%±0.0%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96FE111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Free thyroxine (T4)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1A353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7C78A2B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Albumin (%)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3B06827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</w:tr>
      <w:tr w:rsidR="00B44E90" w:rsidRPr="00DD3C11" w14:paraId="36B5EFF8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0AEDEFA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Free </w:t>
            </w:r>
            <w:r w:rsidRPr="007B12C2">
              <w:rPr>
                <w:rStyle w:val="hgkelc"/>
                <w:sz w:val="20"/>
              </w:rPr>
              <w:t>thyroxine (T4)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650ED1F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049A192C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Glycated hemoglobin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26C46D0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58984AD0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Blood cultures (aerobes)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657AE527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</w:tr>
      <w:tr w:rsidR="00B44E90" w:rsidRPr="00DD3C11" w14:paraId="681EA82A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CC3DF0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Blood cultures (anaerobes)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14FD28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6E4C6DD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Blood cultures (anaerobes)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51FBBEA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0.0%±0.0%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2D78ABF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 xml:space="preserve">Blood cultures (anaerobes) 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096AFAA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</w:tr>
      <w:tr w:rsidR="00B44E90" w:rsidRPr="00DD3C11" w14:paraId="00B8900E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7B2648B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Blood cultures (aerobes)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06C19A0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0.1%±0.0%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4C3F0C3B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Blood cultures (aerobes)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29C51FC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0.0%±0.0%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0A61082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Parathyroid Hormone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4782D1D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0.0%±0.1%</w:t>
            </w:r>
          </w:p>
        </w:tc>
      </w:tr>
      <w:tr w:rsidR="00B44E90" w:rsidRPr="00DD3C11" w14:paraId="3E4AC6AC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37B1AF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Lipidemia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4C734B3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0.0%±0.0%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93DA5B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Lipidemia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D0A825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0.0%±0.0%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77382EC8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Lipidemia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4167984E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/>
                <w:sz w:val="20"/>
              </w:rPr>
              <w:t>0.0%±0.0%</w:t>
            </w:r>
          </w:p>
        </w:tc>
      </w:tr>
      <w:tr w:rsidR="00B44E90" w:rsidRPr="00DD3C11" w14:paraId="6B2A857B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55B48242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Hemolysis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08F60CA6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624FFAA5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Hemolysis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314F6A94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4EB8730D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Hemolysis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52297E9" w14:textId="77777777" w:rsidR="00801FC7" w:rsidRPr="007B12C2" w:rsidRDefault="00801FC7" w:rsidP="00E4791C">
            <w:pPr>
              <w:rPr>
                <w:rFonts w:ascii="Calibri" w:hAnsi="Calibri" w:cs="Calibri"/>
                <w:color w:val="000000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</w:tr>
      <w:tr w:rsidR="00B44E90" w:rsidRPr="00DD3C11" w14:paraId="6FCD652A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94FB698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SARS-CoV2 rt-PCR (E gene)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1CC93F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5616289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SARS-CoV2 rt-PCR (E gene)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0DE3C9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23E84A79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SARS-CoV2 rt-PCR (E gene)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217DBD21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</w:tr>
      <w:tr w:rsidR="00B44E90" w:rsidRPr="00DD3C11" w14:paraId="4B780484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35AEF5B8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SARS-CoV2 rt-PCR (</w:t>
            </w:r>
            <w:proofErr w:type="spellStart"/>
            <w:r w:rsidRPr="00780407">
              <w:rPr>
                <w:rFonts w:ascii="Calibri" w:hAnsi="Calibri" w:cs="Calibri"/>
                <w:sz w:val="20"/>
              </w:rPr>
              <w:t>RdRP</w:t>
            </w:r>
            <w:proofErr w:type="spellEnd"/>
            <w:r w:rsidRPr="00780407">
              <w:rPr>
                <w:rFonts w:ascii="Calibri" w:hAnsi="Calibri" w:cs="Calibri"/>
                <w:sz w:val="20"/>
              </w:rPr>
              <w:t xml:space="preserve"> &amp; N)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14155842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11E7893D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SARS-CoV2 rt-PCR (</w:t>
            </w:r>
            <w:proofErr w:type="spellStart"/>
            <w:r w:rsidRPr="00780407">
              <w:rPr>
                <w:rFonts w:ascii="Calibri" w:hAnsi="Calibri" w:cs="Calibri"/>
                <w:sz w:val="20"/>
              </w:rPr>
              <w:t>RdRP</w:t>
            </w:r>
            <w:proofErr w:type="spellEnd"/>
            <w:r w:rsidRPr="00780407">
              <w:rPr>
                <w:rFonts w:ascii="Calibri" w:hAnsi="Calibri" w:cs="Calibri"/>
                <w:sz w:val="20"/>
              </w:rPr>
              <w:t xml:space="preserve"> &amp; N)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7A88918B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64447E06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SARS-CoV2 rt-PCR (</w:t>
            </w:r>
            <w:proofErr w:type="spellStart"/>
            <w:r w:rsidRPr="00780407">
              <w:rPr>
                <w:rFonts w:ascii="Calibri" w:hAnsi="Calibri" w:cs="Calibri"/>
                <w:sz w:val="20"/>
              </w:rPr>
              <w:t>RdRP</w:t>
            </w:r>
            <w:proofErr w:type="spellEnd"/>
            <w:r w:rsidRPr="00780407">
              <w:rPr>
                <w:rFonts w:ascii="Calibri" w:hAnsi="Calibri" w:cs="Calibri"/>
                <w:sz w:val="20"/>
              </w:rPr>
              <w:t xml:space="preserve"> &amp; N)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32A3A830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</w:tr>
      <w:tr w:rsidR="00B44E90" w:rsidRPr="00DD3C11" w14:paraId="582C9961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565215F1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SARS-CoV2 total antibodies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26209E29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4C605C0B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SARS-CoV2 total antibodies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27B7E0F9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543E752A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SARS-CoV2 total antibodies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7B21BBBF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</w:tr>
      <w:tr w:rsidR="00B44E90" w:rsidRPr="00DD3C11" w14:paraId="03FE7DE1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204F5FB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SARS-CoV2 Point-of-Care Test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35D6C8F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21A83A3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SARS-CoV2 Point-of-Care Test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E38EE51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391B54B2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SARS-CoV2 Point-of-Care Test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688CFE23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</w:tr>
      <w:tr w:rsidR="00B44E90" w:rsidRPr="00DD3C11" w14:paraId="41941AE9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552FC933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  <w:highlight w:val="yellow"/>
              </w:rPr>
            </w:pPr>
            <w:r w:rsidRPr="00780407">
              <w:rPr>
                <w:rStyle w:val="acopre"/>
                <w:sz w:val="20"/>
              </w:rPr>
              <w:t>HBV surface antigen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254686AA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  <w:highlight w:val="yellow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1DA8F922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  <w:highlight w:val="yellow"/>
              </w:rPr>
            </w:pPr>
            <w:r w:rsidRPr="00780407">
              <w:rPr>
                <w:rFonts w:ascii="Calibri" w:hAnsi="Calibri" w:cs="Calibri"/>
                <w:sz w:val="20"/>
              </w:rPr>
              <w:t>HBV surface antigen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766A4ADD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  <w:highlight w:val="yellow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66C7055B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  <w:highlight w:val="yellow"/>
              </w:rPr>
            </w:pPr>
            <w:r w:rsidRPr="00780407">
              <w:rPr>
                <w:rFonts w:ascii="Calibri" w:hAnsi="Calibri" w:cs="Calibri"/>
                <w:sz w:val="20"/>
              </w:rPr>
              <w:t>HBV surface antigen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7C2564AC" w14:textId="77777777" w:rsidR="00801FC7" w:rsidRPr="00780407" w:rsidRDefault="00801FC7" w:rsidP="00E4791C">
            <w:pPr>
              <w:rPr>
                <w:rFonts w:ascii="Calibri" w:hAnsi="Calibri" w:cs="Calibri"/>
                <w:sz w:val="20"/>
                <w:highlight w:val="yellow"/>
              </w:rPr>
            </w:pPr>
            <w:r w:rsidRPr="00780407">
              <w:rPr>
                <w:rFonts w:ascii="Calibri" w:hAnsi="Calibri" w:cs="Calibri"/>
                <w:sz w:val="20"/>
              </w:rPr>
              <w:t>0.0%±0.0%</w:t>
            </w:r>
          </w:p>
        </w:tc>
      </w:tr>
      <w:tr w:rsidR="00B44E90" w:rsidRPr="00DD3C11" w14:paraId="4EAB34EC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9D9435E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HCV antibodies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EFA6E79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86D056D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HCV antibodies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760EE7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11266167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HCV Antibodies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087369B7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</w:tr>
      <w:tr w:rsidR="00B44E90" w:rsidRPr="00DD3C11" w14:paraId="20A9E2F6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191A185B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HIV antibodies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19250DA3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3D88F0FE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HIV antibodies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499224C1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0698C9D9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HIV Antibodies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2E84331E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</w:tr>
      <w:tr w:rsidR="00B44E90" w:rsidRPr="00DD3C11" w14:paraId="367F5EE7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3074C1C6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Pneumococcal urinary antigen test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A3A8A92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2E2BB04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Pneumococcal urinary antigen test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F2D2FDD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13921FF6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Pneumococcal urinary antigen test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67E0CF58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</w:tr>
      <w:tr w:rsidR="00B44E90" w:rsidRPr="00DD3C11" w14:paraId="7F1328F4" w14:textId="77777777" w:rsidTr="00C56625">
        <w:trPr>
          <w:trHeight w:val="288"/>
          <w:jc w:val="center"/>
        </w:trPr>
        <w:tc>
          <w:tcPr>
            <w:tcW w:w="2520" w:type="dxa"/>
            <w:shd w:val="clear" w:color="E2EFDA" w:fill="E2EFDA"/>
            <w:noWrap/>
            <w:vAlign w:val="bottom"/>
            <w:hideMark/>
          </w:tcPr>
          <w:p w14:paraId="4F688807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SARS-CoV2 IgG</w:t>
            </w:r>
          </w:p>
        </w:tc>
        <w:tc>
          <w:tcPr>
            <w:tcW w:w="1260" w:type="dxa"/>
            <w:shd w:val="clear" w:color="E2EFDA" w:fill="E2EFDA"/>
            <w:noWrap/>
            <w:vAlign w:val="bottom"/>
            <w:hideMark/>
          </w:tcPr>
          <w:p w14:paraId="783752A6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  <w:tc>
          <w:tcPr>
            <w:tcW w:w="2790" w:type="dxa"/>
            <w:shd w:val="clear" w:color="FCE4D6" w:fill="FCE4D6"/>
            <w:noWrap/>
            <w:vAlign w:val="bottom"/>
            <w:hideMark/>
          </w:tcPr>
          <w:p w14:paraId="7D6AAFE6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SARS-CoV2 IgG</w:t>
            </w:r>
          </w:p>
        </w:tc>
        <w:tc>
          <w:tcPr>
            <w:tcW w:w="1260" w:type="dxa"/>
            <w:shd w:val="clear" w:color="FCE4D6" w:fill="FCE4D6"/>
            <w:noWrap/>
            <w:vAlign w:val="bottom"/>
            <w:hideMark/>
          </w:tcPr>
          <w:p w14:paraId="00EB05AB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  <w:tc>
          <w:tcPr>
            <w:tcW w:w="2610" w:type="dxa"/>
            <w:shd w:val="clear" w:color="F8CBAD" w:fill="F8CBAD"/>
            <w:noWrap/>
            <w:vAlign w:val="bottom"/>
            <w:hideMark/>
          </w:tcPr>
          <w:p w14:paraId="53450F04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SARS-CoV2 IgG</w:t>
            </w:r>
          </w:p>
        </w:tc>
        <w:tc>
          <w:tcPr>
            <w:tcW w:w="1170" w:type="dxa"/>
            <w:shd w:val="clear" w:color="F8CBAD" w:fill="F8CBAD"/>
            <w:noWrap/>
            <w:vAlign w:val="bottom"/>
            <w:hideMark/>
          </w:tcPr>
          <w:p w14:paraId="1B5DF881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</w:tr>
      <w:tr w:rsidR="00B44E90" w:rsidRPr="00DD3C11" w14:paraId="36B4087F" w14:textId="77777777" w:rsidTr="00C56625">
        <w:trPr>
          <w:trHeight w:val="288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D170C68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SARS-CoV2 IgM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843BDB0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9D0BC7C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SARS-CoV2 IgM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DBE00D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  <w:tc>
          <w:tcPr>
            <w:tcW w:w="2610" w:type="dxa"/>
            <w:shd w:val="clear" w:color="FCE4D6" w:fill="FCE4D6"/>
            <w:noWrap/>
            <w:vAlign w:val="bottom"/>
            <w:hideMark/>
          </w:tcPr>
          <w:p w14:paraId="292F2811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SARS-CoV2 IgM</w:t>
            </w:r>
          </w:p>
        </w:tc>
        <w:tc>
          <w:tcPr>
            <w:tcW w:w="1170" w:type="dxa"/>
            <w:shd w:val="clear" w:color="FCE4D6" w:fill="FCE4D6"/>
            <w:noWrap/>
            <w:vAlign w:val="bottom"/>
            <w:hideMark/>
          </w:tcPr>
          <w:p w14:paraId="1120E9BF" w14:textId="77777777" w:rsidR="00801FC7" w:rsidRPr="007B12C2" w:rsidRDefault="00801FC7" w:rsidP="00E4791C">
            <w:pPr>
              <w:rPr>
                <w:rFonts w:ascii="Calibri" w:hAnsi="Calibri" w:cs="Calibri"/>
                <w:color w:val="000000" w:themeColor="text1"/>
                <w:sz w:val="20"/>
              </w:rPr>
            </w:pPr>
            <w:r w:rsidRPr="007B12C2">
              <w:rPr>
                <w:rFonts w:ascii="Calibri" w:hAnsi="Calibri" w:cs="Calibri"/>
                <w:color w:val="000000" w:themeColor="text1"/>
                <w:sz w:val="20"/>
              </w:rPr>
              <w:t>0.0%±0.0%</w:t>
            </w:r>
          </w:p>
        </w:tc>
      </w:tr>
    </w:tbl>
    <w:p w14:paraId="138A0DEB" w14:textId="77777777" w:rsidR="00FA7A6E" w:rsidRDefault="00FA7A6E" w:rsidP="004F063A">
      <w:pPr>
        <w:jc w:val="both"/>
        <w:rPr>
          <w:rFonts w:eastAsia="Calibri"/>
          <w:b/>
          <w:bCs/>
          <w:sz w:val="20"/>
        </w:rPr>
      </w:pPr>
    </w:p>
    <w:p w14:paraId="10BF7DE9" w14:textId="0FB5DE0B" w:rsidR="00B9440A" w:rsidRPr="004F063A" w:rsidRDefault="001E1005" w:rsidP="004F063A">
      <w:pPr>
        <w:jc w:val="both"/>
        <w:rPr>
          <w:rFonts w:eastAsia="Calibri"/>
          <w:sz w:val="20"/>
        </w:rPr>
      </w:pPr>
      <w:r w:rsidRPr="001E1005">
        <w:rPr>
          <w:rFonts w:eastAsia="Calibri"/>
          <w:b/>
          <w:bCs/>
          <w:sz w:val="20"/>
        </w:rPr>
        <w:t>Table S1</w:t>
      </w:r>
      <w:r w:rsidRPr="001E1005">
        <w:rPr>
          <w:rFonts w:eastAsia="Calibri"/>
          <w:sz w:val="20"/>
        </w:rPr>
        <w:t>.</w:t>
      </w:r>
      <w:r>
        <w:rPr>
          <w:rFonts w:eastAsia="Calibri"/>
          <w:sz w:val="20"/>
        </w:rPr>
        <w:t xml:space="preserve"> </w:t>
      </w:r>
      <w:r w:rsidRPr="001E1005">
        <w:rPr>
          <w:rFonts w:eastAsia="Calibri"/>
          <w:sz w:val="20"/>
        </w:rPr>
        <w:t xml:space="preserve">Variable weights in LR (laboratory results) models according to the different outcomes evaluated. Abbreviations: OS, oxygen support; ICU, Intensive Care Unit; paCO2, partial arterial pressure of carbon dioxide; paO2, partial arterial pressure of oxygen; satO2, oxygen saturation; pvCO2, partial venous pressure of carbon dioxide; pvO2, partial venous pressure of oxygen; BNP, brain natriuretic peptide; LDH, lactate dehydrogenase; ALT, alanine aminotransferase; ALP, alkaline phosphatase; AST, aspartate aminotransferase; GGT, gamma-glutamyl transferase; RBC, red blood cells; WBC, white blood cells; RDW-SD, </w:t>
      </w:r>
      <w:r w:rsidRPr="001E1005">
        <w:rPr>
          <w:rFonts w:eastAsia="Calibri"/>
          <w:i/>
          <w:iCs/>
          <w:sz w:val="20"/>
        </w:rPr>
        <w:t xml:space="preserve">red cell distribution width-standard deviation; </w:t>
      </w:r>
      <w:r w:rsidRPr="001E1005">
        <w:rPr>
          <w:rFonts w:eastAsia="Calibri"/>
          <w:sz w:val="20"/>
        </w:rPr>
        <w:t xml:space="preserve">RDW-CV, </w:t>
      </w:r>
      <w:r w:rsidRPr="001E1005">
        <w:rPr>
          <w:rFonts w:eastAsia="Calibri"/>
          <w:i/>
          <w:iCs/>
          <w:sz w:val="20"/>
        </w:rPr>
        <w:t>red cell distribution width-corpuscular volume; MCH, m</w:t>
      </w:r>
      <w:r w:rsidRPr="001E1005">
        <w:rPr>
          <w:rFonts w:eastAsia="Calibri"/>
          <w:sz w:val="20"/>
        </w:rPr>
        <w:t xml:space="preserve">ean corpuscular hemoglobin; </w:t>
      </w:r>
      <w:r w:rsidRPr="001E1005">
        <w:rPr>
          <w:rFonts w:eastAsia="Calibri"/>
          <w:i/>
          <w:iCs/>
          <w:sz w:val="20"/>
        </w:rPr>
        <w:t xml:space="preserve">MCHC, mean corpuscular hemoglobin concentration; MCV, mean cell volume; ESR, </w:t>
      </w:r>
      <w:r w:rsidRPr="001E1005">
        <w:rPr>
          <w:rFonts w:eastAsia="Calibri"/>
          <w:sz w:val="20"/>
        </w:rPr>
        <w:t xml:space="preserve">erythrocyte sedimentation rate; PDW, platelet distribution width; </w:t>
      </w:r>
      <w:proofErr w:type="spellStart"/>
      <w:r w:rsidRPr="001E1005">
        <w:rPr>
          <w:rFonts w:eastAsia="Calibri"/>
          <w:i/>
          <w:iCs/>
          <w:sz w:val="20"/>
        </w:rPr>
        <w:t>aPTT</w:t>
      </w:r>
      <w:proofErr w:type="spellEnd"/>
      <w:r w:rsidRPr="001E1005">
        <w:rPr>
          <w:rFonts w:eastAsia="Calibri"/>
          <w:i/>
          <w:iCs/>
          <w:sz w:val="20"/>
        </w:rPr>
        <w:t>, activated</w:t>
      </w:r>
      <w:r w:rsidRPr="001E1005">
        <w:rPr>
          <w:rFonts w:eastAsia="Calibri"/>
          <w:sz w:val="20"/>
        </w:rPr>
        <w:t xml:space="preserve"> partial thromboplastin time; INR, international normalized ratio; HDL, high-density lipoprotein; LDL, low-density lipoprotein; rt-PCR, reverse transcriptase-polymerase chain reaction; HBV, Hepatitis B virus; HCV, hepatitis C virus; HIV; human immunodeficiency virus.</w:t>
      </w:r>
    </w:p>
    <w:sectPr w:rsidR="00B9440A" w:rsidRPr="004F063A" w:rsidSect="00E853D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D661" w14:textId="77777777" w:rsidR="00AA0583" w:rsidRDefault="00AA0583">
      <w:r>
        <w:separator/>
      </w:r>
    </w:p>
  </w:endnote>
  <w:endnote w:type="continuationSeparator" w:id="0">
    <w:p w14:paraId="6C2FBA58" w14:textId="77777777" w:rsidR="00AA0583" w:rsidRDefault="00AA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EA3E" w14:textId="32DFF1A6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2B22">
      <w:rPr>
        <w:noProof/>
      </w:rPr>
      <w:t>3</w:t>
    </w:r>
    <w:r>
      <w:fldChar w:fldCharType="end"/>
    </w:r>
  </w:p>
  <w:p w14:paraId="211F3547" w14:textId="77777777" w:rsidR="00F125EE" w:rsidRDefault="00F125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E837D" w14:textId="77777777" w:rsidR="00AA0583" w:rsidRDefault="00AA0583">
      <w:r>
        <w:separator/>
      </w:r>
    </w:p>
  </w:footnote>
  <w:footnote w:type="continuationSeparator" w:id="0">
    <w:p w14:paraId="00B0BAE9" w14:textId="77777777" w:rsidR="00AA0583" w:rsidRDefault="00AA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1F95" w14:textId="77777777" w:rsidR="003A2FD8" w:rsidRPr="005001AC" w:rsidRDefault="003A2FD8" w:rsidP="005001AC">
    <w:pPr>
      <w:jc w:val="right"/>
      <w:rPr>
        <w:sz w:val="20"/>
      </w:rPr>
    </w:pPr>
  </w:p>
  <w:p w14:paraId="3CD866EE" w14:textId="77777777" w:rsidR="003A2FD8" w:rsidRDefault="003A2FD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464EA"/>
    <w:multiLevelType w:val="multilevel"/>
    <w:tmpl w:val="63FE6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C0256F2"/>
    <w:multiLevelType w:val="hybridMultilevel"/>
    <w:tmpl w:val="28C0A0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00EAD"/>
    <w:rsid w:val="000027F5"/>
    <w:rsid w:val="00007971"/>
    <w:rsid w:val="00015F74"/>
    <w:rsid w:val="00015F7F"/>
    <w:rsid w:val="000342B1"/>
    <w:rsid w:val="00034B8B"/>
    <w:rsid w:val="000406A0"/>
    <w:rsid w:val="00046DAF"/>
    <w:rsid w:val="00054113"/>
    <w:rsid w:val="00065EBD"/>
    <w:rsid w:val="00076480"/>
    <w:rsid w:val="00080B8D"/>
    <w:rsid w:val="00083B44"/>
    <w:rsid w:val="000850DC"/>
    <w:rsid w:val="000C2771"/>
    <w:rsid w:val="000D46F4"/>
    <w:rsid w:val="000D7C3A"/>
    <w:rsid w:val="000E765D"/>
    <w:rsid w:val="000F0DCE"/>
    <w:rsid w:val="000F6BE3"/>
    <w:rsid w:val="00112C5B"/>
    <w:rsid w:val="00114193"/>
    <w:rsid w:val="00115A38"/>
    <w:rsid w:val="0011687B"/>
    <w:rsid w:val="00124F82"/>
    <w:rsid w:val="0012780F"/>
    <w:rsid w:val="00136796"/>
    <w:rsid w:val="0014130B"/>
    <w:rsid w:val="00147A44"/>
    <w:rsid w:val="0016337A"/>
    <w:rsid w:val="001634E5"/>
    <w:rsid w:val="00164269"/>
    <w:rsid w:val="00190D66"/>
    <w:rsid w:val="0019461E"/>
    <w:rsid w:val="001A1BDE"/>
    <w:rsid w:val="001B67A7"/>
    <w:rsid w:val="001D196E"/>
    <w:rsid w:val="001E1005"/>
    <w:rsid w:val="001F0876"/>
    <w:rsid w:val="001F167C"/>
    <w:rsid w:val="001F2296"/>
    <w:rsid w:val="001F5E91"/>
    <w:rsid w:val="002077B9"/>
    <w:rsid w:val="00211831"/>
    <w:rsid w:val="00227D59"/>
    <w:rsid w:val="002404D4"/>
    <w:rsid w:val="00245D30"/>
    <w:rsid w:val="00252ABD"/>
    <w:rsid w:val="002552C3"/>
    <w:rsid w:val="00260D7F"/>
    <w:rsid w:val="00262D72"/>
    <w:rsid w:val="002825CB"/>
    <w:rsid w:val="00287E85"/>
    <w:rsid w:val="00294FBB"/>
    <w:rsid w:val="002B71A9"/>
    <w:rsid w:val="002C030F"/>
    <w:rsid w:val="003009E6"/>
    <w:rsid w:val="00331D75"/>
    <w:rsid w:val="00355362"/>
    <w:rsid w:val="00363E44"/>
    <w:rsid w:val="00380894"/>
    <w:rsid w:val="003912D2"/>
    <w:rsid w:val="00395E86"/>
    <w:rsid w:val="0039647C"/>
    <w:rsid w:val="003A2FD8"/>
    <w:rsid w:val="003B40E6"/>
    <w:rsid w:val="003B691D"/>
    <w:rsid w:val="003C1FFA"/>
    <w:rsid w:val="003E74FB"/>
    <w:rsid w:val="003F2345"/>
    <w:rsid w:val="003F6E14"/>
    <w:rsid w:val="00405336"/>
    <w:rsid w:val="004115BD"/>
    <w:rsid w:val="00440D0D"/>
    <w:rsid w:val="00456026"/>
    <w:rsid w:val="004571D5"/>
    <w:rsid w:val="00461D81"/>
    <w:rsid w:val="0046356B"/>
    <w:rsid w:val="0047208F"/>
    <w:rsid w:val="00477182"/>
    <w:rsid w:val="004779CB"/>
    <w:rsid w:val="004838F9"/>
    <w:rsid w:val="004873FB"/>
    <w:rsid w:val="00490D3F"/>
    <w:rsid w:val="00493D0C"/>
    <w:rsid w:val="00493DCA"/>
    <w:rsid w:val="004A495E"/>
    <w:rsid w:val="004B1757"/>
    <w:rsid w:val="004C2661"/>
    <w:rsid w:val="004E42D8"/>
    <w:rsid w:val="004E7BA2"/>
    <w:rsid w:val="004F063A"/>
    <w:rsid w:val="004F7EDF"/>
    <w:rsid w:val="005001AC"/>
    <w:rsid w:val="00502CF3"/>
    <w:rsid w:val="00515AA7"/>
    <w:rsid w:val="00527D71"/>
    <w:rsid w:val="00531862"/>
    <w:rsid w:val="00546D7E"/>
    <w:rsid w:val="00551BC0"/>
    <w:rsid w:val="005520A8"/>
    <w:rsid w:val="005607DD"/>
    <w:rsid w:val="0058083A"/>
    <w:rsid w:val="005A558C"/>
    <w:rsid w:val="005D1748"/>
    <w:rsid w:val="005D7923"/>
    <w:rsid w:val="005E28F8"/>
    <w:rsid w:val="005E6513"/>
    <w:rsid w:val="005E6BBF"/>
    <w:rsid w:val="006265FB"/>
    <w:rsid w:val="0063600D"/>
    <w:rsid w:val="00651114"/>
    <w:rsid w:val="00652B40"/>
    <w:rsid w:val="00664560"/>
    <w:rsid w:val="0066589D"/>
    <w:rsid w:val="00667973"/>
    <w:rsid w:val="00670299"/>
    <w:rsid w:val="00682685"/>
    <w:rsid w:val="00691985"/>
    <w:rsid w:val="006A1B64"/>
    <w:rsid w:val="006A38CD"/>
    <w:rsid w:val="006D0A63"/>
    <w:rsid w:val="006D21C2"/>
    <w:rsid w:val="006D596F"/>
    <w:rsid w:val="006D6933"/>
    <w:rsid w:val="007108F5"/>
    <w:rsid w:val="00713E5B"/>
    <w:rsid w:val="007402FC"/>
    <w:rsid w:val="00740CE6"/>
    <w:rsid w:val="007411A1"/>
    <w:rsid w:val="007507AD"/>
    <w:rsid w:val="007601A7"/>
    <w:rsid w:val="0077155E"/>
    <w:rsid w:val="00783EA0"/>
    <w:rsid w:val="00787DCF"/>
    <w:rsid w:val="00793072"/>
    <w:rsid w:val="00795C0B"/>
    <w:rsid w:val="007A1291"/>
    <w:rsid w:val="007F7026"/>
    <w:rsid w:val="00801FC7"/>
    <w:rsid w:val="00804967"/>
    <w:rsid w:val="00807D35"/>
    <w:rsid w:val="008218C4"/>
    <w:rsid w:val="008309A2"/>
    <w:rsid w:val="0083333A"/>
    <w:rsid w:val="00867A98"/>
    <w:rsid w:val="00870867"/>
    <w:rsid w:val="00885C9B"/>
    <w:rsid w:val="008D5CB1"/>
    <w:rsid w:val="008D5D2A"/>
    <w:rsid w:val="008E1DF2"/>
    <w:rsid w:val="008E4F10"/>
    <w:rsid w:val="008F39AA"/>
    <w:rsid w:val="00914B63"/>
    <w:rsid w:val="0092122A"/>
    <w:rsid w:val="009354F3"/>
    <w:rsid w:val="009447DC"/>
    <w:rsid w:val="00945842"/>
    <w:rsid w:val="009519A1"/>
    <w:rsid w:val="0095350D"/>
    <w:rsid w:val="00961BA5"/>
    <w:rsid w:val="009661C2"/>
    <w:rsid w:val="009743A9"/>
    <w:rsid w:val="0098175F"/>
    <w:rsid w:val="00983212"/>
    <w:rsid w:val="009A5287"/>
    <w:rsid w:val="009B2AC5"/>
    <w:rsid w:val="009B7984"/>
    <w:rsid w:val="009C2C6E"/>
    <w:rsid w:val="009C3A62"/>
    <w:rsid w:val="009D5B6D"/>
    <w:rsid w:val="009E0522"/>
    <w:rsid w:val="009F0436"/>
    <w:rsid w:val="009F100C"/>
    <w:rsid w:val="009F48E5"/>
    <w:rsid w:val="009F4BED"/>
    <w:rsid w:val="009F7D93"/>
    <w:rsid w:val="00A01889"/>
    <w:rsid w:val="00A213A9"/>
    <w:rsid w:val="00A3403B"/>
    <w:rsid w:val="00A51A12"/>
    <w:rsid w:val="00A55D37"/>
    <w:rsid w:val="00A627D4"/>
    <w:rsid w:val="00A749FD"/>
    <w:rsid w:val="00A74DA2"/>
    <w:rsid w:val="00A754F8"/>
    <w:rsid w:val="00A75731"/>
    <w:rsid w:val="00A758C0"/>
    <w:rsid w:val="00A81A88"/>
    <w:rsid w:val="00A95AD1"/>
    <w:rsid w:val="00AA0583"/>
    <w:rsid w:val="00AB2A4A"/>
    <w:rsid w:val="00AB399E"/>
    <w:rsid w:val="00AC59D0"/>
    <w:rsid w:val="00AC7FAA"/>
    <w:rsid w:val="00AD16B1"/>
    <w:rsid w:val="00AD499C"/>
    <w:rsid w:val="00AD6504"/>
    <w:rsid w:val="00B072CD"/>
    <w:rsid w:val="00B07F72"/>
    <w:rsid w:val="00B36259"/>
    <w:rsid w:val="00B36869"/>
    <w:rsid w:val="00B43B31"/>
    <w:rsid w:val="00B44E90"/>
    <w:rsid w:val="00B463E1"/>
    <w:rsid w:val="00B47CFA"/>
    <w:rsid w:val="00B57F00"/>
    <w:rsid w:val="00B749ED"/>
    <w:rsid w:val="00B77B2A"/>
    <w:rsid w:val="00B82C22"/>
    <w:rsid w:val="00B8751C"/>
    <w:rsid w:val="00B90B62"/>
    <w:rsid w:val="00B93DBA"/>
    <w:rsid w:val="00B9440A"/>
    <w:rsid w:val="00B9647A"/>
    <w:rsid w:val="00BB2D2A"/>
    <w:rsid w:val="00BB3F1C"/>
    <w:rsid w:val="00BC3E04"/>
    <w:rsid w:val="00BD0EF5"/>
    <w:rsid w:val="00BD3C3A"/>
    <w:rsid w:val="00BD58CF"/>
    <w:rsid w:val="00BD7CB7"/>
    <w:rsid w:val="00BF0C92"/>
    <w:rsid w:val="00BF7B6C"/>
    <w:rsid w:val="00C04CC1"/>
    <w:rsid w:val="00C05881"/>
    <w:rsid w:val="00C4096C"/>
    <w:rsid w:val="00C50C6D"/>
    <w:rsid w:val="00C56625"/>
    <w:rsid w:val="00C600D9"/>
    <w:rsid w:val="00C60876"/>
    <w:rsid w:val="00C650EE"/>
    <w:rsid w:val="00C73355"/>
    <w:rsid w:val="00C83929"/>
    <w:rsid w:val="00C84B2A"/>
    <w:rsid w:val="00C92B22"/>
    <w:rsid w:val="00CB7ABA"/>
    <w:rsid w:val="00CC1384"/>
    <w:rsid w:val="00CC1EF0"/>
    <w:rsid w:val="00CC2E76"/>
    <w:rsid w:val="00CC32CF"/>
    <w:rsid w:val="00CC537C"/>
    <w:rsid w:val="00CD3720"/>
    <w:rsid w:val="00CF1848"/>
    <w:rsid w:val="00CF5C2F"/>
    <w:rsid w:val="00D04BCF"/>
    <w:rsid w:val="00D0765A"/>
    <w:rsid w:val="00D143D9"/>
    <w:rsid w:val="00D30F14"/>
    <w:rsid w:val="00D41BCE"/>
    <w:rsid w:val="00D529FA"/>
    <w:rsid w:val="00D5511B"/>
    <w:rsid w:val="00D70591"/>
    <w:rsid w:val="00D766F1"/>
    <w:rsid w:val="00DE3166"/>
    <w:rsid w:val="00E12CCF"/>
    <w:rsid w:val="00E257C8"/>
    <w:rsid w:val="00E25A98"/>
    <w:rsid w:val="00E37F79"/>
    <w:rsid w:val="00E41512"/>
    <w:rsid w:val="00E4519A"/>
    <w:rsid w:val="00E6096C"/>
    <w:rsid w:val="00E649F0"/>
    <w:rsid w:val="00E70F3B"/>
    <w:rsid w:val="00E853D5"/>
    <w:rsid w:val="00E85B2F"/>
    <w:rsid w:val="00E92AE9"/>
    <w:rsid w:val="00E93238"/>
    <w:rsid w:val="00E9773B"/>
    <w:rsid w:val="00EA6F42"/>
    <w:rsid w:val="00EC13A3"/>
    <w:rsid w:val="00EC4972"/>
    <w:rsid w:val="00EC7C85"/>
    <w:rsid w:val="00F125EE"/>
    <w:rsid w:val="00F12E98"/>
    <w:rsid w:val="00F22029"/>
    <w:rsid w:val="00F25D2F"/>
    <w:rsid w:val="00F2605C"/>
    <w:rsid w:val="00F41C42"/>
    <w:rsid w:val="00F504D7"/>
    <w:rsid w:val="00F515FB"/>
    <w:rsid w:val="00F624E3"/>
    <w:rsid w:val="00F630EA"/>
    <w:rsid w:val="00F7007E"/>
    <w:rsid w:val="00F73193"/>
    <w:rsid w:val="00F74F95"/>
    <w:rsid w:val="00F80705"/>
    <w:rsid w:val="00F84156"/>
    <w:rsid w:val="00F92D9C"/>
    <w:rsid w:val="00FA1481"/>
    <w:rsid w:val="00FA7A6E"/>
    <w:rsid w:val="00FC1E1F"/>
    <w:rsid w:val="00FD39DE"/>
    <w:rsid w:val="00FD544C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97622"/>
  <w15:docId w15:val="{EAC22EA6-1BB9-493A-BA9A-8FFD465D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uiPriority w:val="9"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uiPriority w:val="99"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04E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link w:val="NormalWebChar"/>
    <w:uiPriority w:val="99"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uiPriority w:val="99"/>
    <w:rsid w:val="007402F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93072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930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218C4"/>
    <w:rPr>
      <w:color w:val="808080"/>
      <w:shd w:val="clear" w:color="auto" w:fill="E6E6E6"/>
    </w:rPr>
  </w:style>
  <w:style w:type="paragraph" w:customStyle="1" w:styleId="Affiliations">
    <w:name w:val="Affiliations"/>
    <w:basedOn w:val="Normal"/>
    <w:link w:val="AffiliationsChar"/>
    <w:qFormat/>
    <w:rsid w:val="00667973"/>
    <w:pPr>
      <w:spacing w:after="40" w:line="259" w:lineRule="auto"/>
    </w:pPr>
    <w:rPr>
      <w:rFonts w:asciiTheme="minorHAnsi" w:eastAsiaTheme="minorHAnsi" w:hAnsiTheme="minorHAnsi" w:cstheme="minorBidi"/>
      <w:sz w:val="18"/>
      <w:szCs w:val="22"/>
      <w:lang w:val="fr-FR"/>
    </w:rPr>
  </w:style>
  <w:style w:type="character" w:customStyle="1" w:styleId="AffiliationsChar">
    <w:name w:val="Affiliations Char"/>
    <w:basedOn w:val="DefaultParagraphFont"/>
    <w:link w:val="Affiliations"/>
    <w:rsid w:val="00667973"/>
    <w:rPr>
      <w:rFonts w:asciiTheme="minorHAnsi" w:eastAsiaTheme="minorHAnsi" w:hAnsiTheme="minorHAnsi" w:cstheme="minorBidi"/>
      <w:sz w:val="18"/>
      <w:szCs w:val="22"/>
      <w:lang w:val="fr-FR"/>
    </w:rPr>
  </w:style>
  <w:style w:type="character" w:styleId="Emphasis">
    <w:name w:val="Emphasis"/>
    <w:basedOn w:val="DefaultParagraphFont"/>
    <w:uiPriority w:val="20"/>
    <w:qFormat/>
    <w:rsid w:val="00B07F72"/>
    <w:rPr>
      <w:i/>
      <w:iCs/>
    </w:rPr>
  </w:style>
  <w:style w:type="character" w:customStyle="1" w:styleId="fn">
    <w:name w:val="fn"/>
    <w:basedOn w:val="DefaultParagraphFont"/>
    <w:rsid w:val="00B07F72"/>
  </w:style>
  <w:style w:type="character" w:customStyle="1" w:styleId="acopre">
    <w:name w:val="acopre"/>
    <w:basedOn w:val="DefaultParagraphFont"/>
    <w:rsid w:val="00B07F72"/>
  </w:style>
  <w:style w:type="character" w:customStyle="1" w:styleId="hgkelc">
    <w:name w:val="hgkelc"/>
    <w:basedOn w:val="DefaultParagraphFont"/>
    <w:rsid w:val="00B07F72"/>
  </w:style>
  <w:style w:type="character" w:customStyle="1" w:styleId="Heading3Char">
    <w:name w:val="Heading 3 Char"/>
    <w:basedOn w:val="DefaultParagraphFont"/>
    <w:link w:val="Heading3"/>
    <w:uiPriority w:val="9"/>
    <w:semiHidden/>
    <w:rsid w:val="00801FC7"/>
    <w:rPr>
      <w:rFonts w:ascii="Times" w:eastAsia="Times" w:hAnsi="Times"/>
      <w:b/>
      <w:sz w:val="24"/>
    </w:rPr>
  </w:style>
  <w:style w:type="paragraph" w:customStyle="1" w:styleId="PTitle">
    <w:name w:val="PTitle"/>
    <w:basedOn w:val="Normal"/>
    <w:link w:val="PTitleChar"/>
    <w:qFormat/>
    <w:rsid w:val="00801FC7"/>
    <w:pPr>
      <w:spacing w:before="400" w:after="120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customStyle="1" w:styleId="PSubTitle">
    <w:name w:val="PSubTitle"/>
    <w:basedOn w:val="Heading3"/>
    <w:link w:val="PSubTitleChar"/>
    <w:qFormat/>
    <w:rsid w:val="00801FC7"/>
    <w:pPr>
      <w:keepLines/>
      <w:spacing w:before="320" w:after="80" w:line="259" w:lineRule="auto"/>
    </w:pPr>
    <w:rPr>
      <w:rFonts w:ascii="Arial" w:eastAsiaTheme="majorEastAsia" w:hAnsi="Arial" w:cs="Arial"/>
      <w:bCs/>
      <w:color w:val="434343"/>
      <w:szCs w:val="28"/>
    </w:rPr>
  </w:style>
  <w:style w:type="character" w:customStyle="1" w:styleId="PTitleChar">
    <w:name w:val="PTitle Char"/>
    <w:basedOn w:val="DefaultParagraphFont"/>
    <w:link w:val="PTitle"/>
    <w:rsid w:val="00801FC7"/>
    <w:rPr>
      <w:rFonts w:ascii="Arial" w:hAnsi="Arial" w:cs="Arial"/>
      <w:b/>
      <w:bCs/>
      <w:color w:val="000000"/>
      <w:kern w:val="36"/>
      <w:sz w:val="40"/>
      <w:szCs w:val="40"/>
    </w:rPr>
  </w:style>
  <w:style w:type="paragraph" w:customStyle="1" w:styleId="PNormal">
    <w:name w:val="PNormal"/>
    <w:basedOn w:val="NormalWeb"/>
    <w:link w:val="PNormalChar"/>
    <w:qFormat/>
    <w:rsid w:val="00801FC7"/>
    <w:pPr>
      <w:spacing w:before="120" w:after="120" w:line="276" w:lineRule="auto"/>
      <w:jc w:val="both"/>
    </w:pPr>
    <w:rPr>
      <w:rFonts w:ascii="Arial" w:hAnsi="Arial" w:cs="Arial"/>
      <w:color w:val="000000"/>
    </w:rPr>
  </w:style>
  <w:style w:type="character" w:customStyle="1" w:styleId="PSubTitleChar">
    <w:name w:val="PSubTitle Char"/>
    <w:basedOn w:val="Heading3Char"/>
    <w:link w:val="PSubTitle"/>
    <w:rsid w:val="00801FC7"/>
    <w:rPr>
      <w:rFonts w:ascii="Arial" w:eastAsiaTheme="majorEastAsia" w:hAnsi="Arial" w:cs="Arial"/>
      <w:b/>
      <w:bCs/>
      <w:color w:val="434343"/>
      <w:sz w:val="24"/>
      <w:szCs w:val="28"/>
    </w:rPr>
  </w:style>
  <w:style w:type="character" w:customStyle="1" w:styleId="NormalWebChar">
    <w:name w:val="Normal (Web) Char"/>
    <w:basedOn w:val="DefaultParagraphFont"/>
    <w:link w:val="NormalWeb"/>
    <w:uiPriority w:val="99"/>
    <w:rsid w:val="00801FC7"/>
    <w:rPr>
      <w:sz w:val="24"/>
      <w:szCs w:val="24"/>
    </w:rPr>
  </w:style>
  <w:style w:type="character" w:customStyle="1" w:styleId="PNormalChar">
    <w:name w:val="PNormal Char"/>
    <w:basedOn w:val="NormalWebChar"/>
    <w:link w:val="PNormal"/>
    <w:rsid w:val="00801FC7"/>
    <w:rPr>
      <w:rFonts w:ascii="Arial" w:hAnsi="Arial" w:cs="Arial"/>
      <w:color w:val="000000"/>
      <w:sz w:val="24"/>
      <w:szCs w:val="24"/>
    </w:rPr>
  </w:style>
  <w:style w:type="paragraph" w:customStyle="1" w:styleId="PFig">
    <w:name w:val="PFig"/>
    <w:basedOn w:val="PNormal"/>
    <w:link w:val="PFigChar"/>
    <w:qFormat/>
    <w:rsid w:val="00801FC7"/>
    <w:pPr>
      <w:jc w:val="left"/>
    </w:pPr>
    <w:rPr>
      <w:sz w:val="18"/>
      <w:szCs w:val="18"/>
    </w:rPr>
  </w:style>
  <w:style w:type="character" w:customStyle="1" w:styleId="PFigChar">
    <w:name w:val="PFig Char"/>
    <w:basedOn w:val="PNormalChar"/>
    <w:link w:val="PFig"/>
    <w:rsid w:val="00801FC7"/>
    <w:rPr>
      <w:rFonts w:ascii="Arial" w:hAnsi="Arial" w:cs="Arial"/>
      <w:color w:val="000000"/>
      <w:sz w:val="18"/>
      <w:szCs w:val="18"/>
    </w:rPr>
  </w:style>
  <w:style w:type="paragraph" w:customStyle="1" w:styleId="PSubTitlesub">
    <w:name w:val="PSubTitle_sub"/>
    <w:basedOn w:val="PNormal"/>
    <w:link w:val="PSubTitlesubChar"/>
    <w:qFormat/>
    <w:rsid w:val="00801FC7"/>
    <w:rPr>
      <w:b/>
      <w:bCs/>
      <w:i/>
      <w:iCs/>
    </w:rPr>
  </w:style>
  <w:style w:type="character" w:customStyle="1" w:styleId="PSubTitlesubChar">
    <w:name w:val="PSubTitle_sub Char"/>
    <w:basedOn w:val="PNormalChar"/>
    <w:link w:val="PSubTitlesub"/>
    <w:rsid w:val="00801FC7"/>
    <w:rPr>
      <w:rFonts w:ascii="Arial" w:hAnsi="Arial" w:cs="Arial"/>
      <w:b/>
      <w:bCs/>
      <w:i/>
      <w:iCs/>
      <w:color w:val="000000"/>
      <w:sz w:val="24"/>
      <w:szCs w:val="24"/>
    </w:rPr>
  </w:style>
  <w:style w:type="paragraph" w:customStyle="1" w:styleId="msonormal0">
    <w:name w:val="msonormal"/>
    <w:basedOn w:val="Normal"/>
    <w:rsid w:val="00801FC7"/>
    <w:pPr>
      <w:spacing w:before="100" w:beforeAutospacing="1" w:after="100" w:afterAutospacing="1"/>
    </w:pPr>
    <w:rPr>
      <w:szCs w:val="24"/>
    </w:rPr>
  </w:style>
  <w:style w:type="paragraph" w:customStyle="1" w:styleId="xl65">
    <w:name w:val="xl65"/>
    <w:basedOn w:val="Normal"/>
    <w:rsid w:val="00801FC7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Normal"/>
    <w:rsid w:val="00801FC7"/>
    <w:pPr>
      <w:shd w:val="clear" w:color="000000" w:fill="C00000"/>
      <w:spacing w:before="100" w:beforeAutospacing="1" w:after="100" w:afterAutospacing="1"/>
    </w:pPr>
    <w:rPr>
      <w:color w:val="FFFFFF"/>
      <w:szCs w:val="24"/>
    </w:rPr>
  </w:style>
  <w:style w:type="paragraph" w:customStyle="1" w:styleId="xl67">
    <w:name w:val="xl67"/>
    <w:basedOn w:val="Normal"/>
    <w:rsid w:val="00801FC7"/>
    <w:pPr>
      <w:shd w:val="clear" w:color="000000" w:fill="C00000"/>
      <w:spacing w:before="100" w:beforeAutospacing="1" w:after="100" w:afterAutospacing="1"/>
      <w:jc w:val="center"/>
    </w:pPr>
    <w:rPr>
      <w:b/>
      <w:bCs/>
      <w:color w:val="FFFFFF"/>
      <w:szCs w:val="24"/>
    </w:rPr>
  </w:style>
  <w:style w:type="paragraph" w:customStyle="1" w:styleId="xl68">
    <w:name w:val="xl68"/>
    <w:basedOn w:val="Normal"/>
    <w:rsid w:val="00801FC7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801FC7"/>
    <w:pPr>
      <w:shd w:val="clear" w:color="000000" w:fill="C00000"/>
      <w:spacing w:before="100" w:beforeAutospacing="1" w:after="100" w:afterAutospacing="1"/>
    </w:pPr>
    <w:rPr>
      <w:color w:val="FFFFFF"/>
      <w:szCs w:val="24"/>
    </w:rPr>
  </w:style>
  <w:style w:type="paragraph" w:customStyle="1" w:styleId="xl70">
    <w:name w:val="xl70"/>
    <w:basedOn w:val="Normal"/>
    <w:rsid w:val="00801FC7"/>
    <w:pPr>
      <w:shd w:val="clear" w:color="000000" w:fill="C00000"/>
      <w:spacing w:before="100" w:beforeAutospacing="1" w:after="100" w:afterAutospacing="1"/>
      <w:jc w:val="center"/>
    </w:pPr>
    <w:rPr>
      <w:color w:val="FFFFFF"/>
      <w:szCs w:val="24"/>
    </w:rPr>
  </w:style>
  <w:style w:type="paragraph" w:styleId="Revision">
    <w:name w:val="Revision"/>
    <w:hidden/>
    <w:uiPriority w:val="99"/>
    <w:semiHidden/>
    <w:rsid w:val="00801FC7"/>
    <w:rPr>
      <w:rFonts w:asciiTheme="minorHAnsi" w:eastAsiaTheme="minorHAnsi" w:hAnsiTheme="minorHAnsi" w:cstheme="minorBidi"/>
      <w:sz w:val="22"/>
      <w:szCs w:val="22"/>
    </w:rPr>
  </w:style>
  <w:style w:type="paragraph" w:customStyle="1" w:styleId="Head">
    <w:name w:val="Head"/>
    <w:basedOn w:val="Normal"/>
    <w:rsid w:val="00F504D7"/>
    <w:pPr>
      <w:keepNext/>
      <w:spacing w:before="120" w:after="120"/>
      <w:jc w:val="center"/>
      <w:outlineLvl w:val="0"/>
    </w:pPr>
    <w:rPr>
      <w:b/>
      <w:bCs/>
      <w:kern w:val="28"/>
      <w:sz w:val="28"/>
      <w:szCs w:val="28"/>
    </w:rPr>
  </w:style>
  <w:style w:type="paragraph" w:customStyle="1" w:styleId="Authors">
    <w:name w:val="Authors"/>
    <w:basedOn w:val="Normal"/>
    <w:rsid w:val="002B71A9"/>
    <w:pPr>
      <w:spacing w:before="120" w:after="360"/>
      <w:jc w:val="center"/>
    </w:pPr>
    <w:rPr>
      <w:szCs w:val="24"/>
    </w:rPr>
  </w:style>
  <w:style w:type="paragraph" w:customStyle="1" w:styleId="Paragraph">
    <w:name w:val="Paragraph"/>
    <w:basedOn w:val="Normal"/>
    <w:rsid w:val="002B71A9"/>
    <w:pPr>
      <w:spacing w:before="120"/>
      <w:ind w:firstLine="720"/>
    </w:pPr>
    <w:rPr>
      <w:szCs w:val="24"/>
    </w:rPr>
  </w:style>
  <w:style w:type="paragraph" w:customStyle="1" w:styleId="Subheading">
    <w:name w:val="Subheading"/>
    <w:basedOn w:val="Normal"/>
    <w:qFormat/>
    <w:rsid w:val="00493DCA"/>
    <w:pPr>
      <w:spacing w:before="240"/>
      <w:jc w:val="both"/>
    </w:pPr>
    <w:rPr>
      <w:i/>
    </w:rPr>
  </w:style>
  <w:style w:type="paragraph" w:customStyle="1" w:styleId="Text">
    <w:name w:val="Text"/>
    <w:basedOn w:val="Normal"/>
    <w:link w:val="TextChar"/>
    <w:qFormat/>
    <w:rsid w:val="000406A0"/>
    <w:pPr>
      <w:spacing w:before="120"/>
      <w:jc w:val="both"/>
    </w:pPr>
    <w:rPr>
      <w:noProof/>
      <w:szCs w:val="24"/>
    </w:rPr>
  </w:style>
  <w:style w:type="character" w:customStyle="1" w:styleId="TextChar">
    <w:name w:val="Text Char"/>
    <w:basedOn w:val="DefaultParagraphFont"/>
    <w:link w:val="Text"/>
    <w:rsid w:val="000406A0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joricomico/COVID19_trial.g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262D-D37F-4C40-B45B-22E46A2B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13637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</dc:creator>
  <cp:keywords/>
  <cp:lastModifiedBy>ALe .</cp:lastModifiedBy>
  <cp:revision>164</cp:revision>
  <cp:lastPrinted>2018-01-11T19:53:00Z</cp:lastPrinted>
  <dcterms:created xsi:type="dcterms:W3CDTF">2021-03-09T12:52:00Z</dcterms:created>
  <dcterms:modified xsi:type="dcterms:W3CDTF">2021-05-27T13:28:00Z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708e5932-b05f-3f67-be9f-d08a20b5b7eb</vt:lpwstr>
  </property>
  <property fmtid="{D5CDD505-2E9C-101B-9397-08002B2CF9AE}" pid="4" name="Mendeley Citation Style_1">
    <vt:lpwstr>http://www.zotero.org/styles/nature</vt:lpwstr>
  </property>
</Properties>
</file>