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D527" w14:textId="77777777" w:rsidR="00981DE4" w:rsidRPr="00576B0A" w:rsidRDefault="00981DE4" w:rsidP="00576B0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576B0A">
        <w:rPr>
          <w:rFonts w:ascii="Times New Roman" w:hAnsi="Times New Roman" w:cs="Times New Roman"/>
          <w:b/>
          <w:bCs/>
          <w:sz w:val="24"/>
          <w:szCs w:val="24"/>
        </w:rPr>
        <w:t xml:space="preserve">Title: Early critical care </w:t>
      </w:r>
      <w:bookmarkStart w:id="0" w:name="_Hlk45223191"/>
      <w:r w:rsidRPr="00576B0A">
        <w:rPr>
          <w:rFonts w:ascii="Times New Roman" w:hAnsi="Times New Roman" w:cs="Times New Roman"/>
          <w:b/>
          <w:bCs/>
          <w:sz w:val="24"/>
          <w:szCs w:val="24"/>
        </w:rPr>
        <w:t>transthoracic echocardiography</w:t>
      </w:r>
      <w:bookmarkEnd w:id="0"/>
      <w:r w:rsidRPr="00576B0A">
        <w:rPr>
          <w:rFonts w:ascii="Times New Roman" w:hAnsi="Times New Roman" w:cs="Times New Roman"/>
          <w:b/>
          <w:bCs/>
          <w:sz w:val="24"/>
          <w:szCs w:val="24"/>
        </w:rPr>
        <w:t xml:space="preserve"> improves the mortality of patients undergoing mechanical ventilation: Observational data from two databases</w:t>
      </w:r>
    </w:p>
    <w:p w14:paraId="1F8B3507" w14:textId="77777777" w:rsidR="00981DE4" w:rsidRPr="00576B0A" w:rsidRDefault="00981DE4" w:rsidP="00576B0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B0A">
        <w:rPr>
          <w:rFonts w:ascii="Times New Roman" w:hAnsi="Times New Roman" w:cs="Times New Roman"/>
          <w:b/>
          <w:bCs/>
          <w:sz w:val="24"/>
          <w:szCs w:val="24"/>
        </w:rPr>
        <w:t>Online Supplement</w:t>
      </w:r>
    </w:p>
    <w:p w14:paraId="6D2C6945" w14:textId="77777777" w:rsidR="00576B0A" w:rsidRPr="00576B0A" w:rsidRDefault="00576B0A" w:rsidP="00576B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45636426"/>
      <w:proofErr w:type="spellStart"/>
      <w:r w:rsidRPr="00576B0A">
        <w:rPr>
          <w:rFonts w:ascii="Times New Roman" w:hAnsi="Times New Roman" w:cs="Times New Roman"/>
          <w:sz w:val="24"/>
          <w:szCs w:val="24"/>
        </w:rPr>
        <w:t>Xueshu</w:t>
      </w:r>
      <w:proofErr w:type="spellEnd"/>
      <w:r w:rsidRPr="00576B0A">
        <w:rPr>
          <w:rFonts w:ascii="Times New Roman" w:hAnsi="Times New Roman" w:cs="Times New Roman"/>
          <w:sz w:val="24"/>
          <w:szCs w:val="24"/>
        </w:rPr>
        <w:t xml:space="preserve"> Yu</w:t>
      </w:r>
      <w:bookmarkStart w:id="2" w:name="_Hlk45103498"/>
      <w:r w:rsidRPr="00576B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2"/>
      <w:r w:rsidRPr="00576B0A">
        <w:rPr>
          <w:rFonts w:ascii="Times New Roman" w:hAnsi="Times New Roman" w:cs="Times New Roman"/>
          <w:sz w:val="24"/>
          <w:szCs w:val="24"/>
        </w:rPr>
        <w:t>, Hao Jiang</w:t>
      </w:r>
      <w:r w:rsidRPr="00576B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6B0A">
        <w:rPr>
          <w:rFonts w:ascii="Times New Roman" w:hAnsi="Times New Roman" w:cs="Times New Roman"/>
          <w:sz w:val="24"/>
          <w:szCs w:val="24"/>
        </w:rPr>
        <w:t>, Wenjing Chen</w:t>
      </w:r>
      <w:r w:rsidRPr="00576B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6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B0A">
        <w:rPr>
          <w:rFonts w:ascii="Times New Roman" w:hAnsi="Times New Roman" w:cs="Times New Roman"/>
          <w:sz w:val="24"/>
          <w:szCs w:val="24"/>
        </w:rPr>
        <w:t>Lingling</w:t>
      </w:r>
      <w:proofErr w:type="spellEnd"/>
      <w:r w:rsidRPr="00576B0A">
        <w:rPr>
          <w:rFonts w:ascii="Times New Roman" w:hAnsi="Times New Roman" w:cs="Times New Roman"/>
          <w:sz w:val="24"/>
          <w:szCs w:val="24"/>
        </w:rPr>
        <w:t xml:space="preserve"> Pan</w:t>
      </w:r>
      <w:r w:rsidRPr="00576B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6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B0A">
        <w:rPr>
          <w:rFonts w:ascii="Times New Roman" w:hAnsi="Times New Roman" w:cs="Times New Roman"/>
          <w:sz w:val="24"/>
          <w:szCs w:val="24"/>
        </w:rPr>
        <w:t>Zhendong</w:t>
      </w:r>
      <w:proofErr w:type="spellEnd"/>
      <w:r w:rsidRPr="00576B0A">
        <w:rPr>
          <w:rFonts w:ascii="Times New Roman" w:hAnsi="Times New Roman" w:cs="Times New Roman"/>
          <w:sz w:val="24"/>
          <w:szCs w:val="24"/>
        </w:rPr>
        <w:t xml:space="preserve"> Fang</w:t>
      </w:r>
      <w:r w:rsidRPr="00576B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6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B0A">
        <w:rPr>
          <w:rFonts w:ascii="Times New Roman" w:hAnsi="Times New Roman" w:cs="Times New Roman"/>
          <w:sz w:val="24"/>
          <w:szCs w:val="24"/>
        </w:rPr>
        <w:t>Xianwei</w:t>
      </w:r>
      <w:proofErr w:type="spellEnd"/>
      <w:r w:rsidRPr="00576B0A">
        <w:rPr>
          <w:rFonts w:ascii="Times New Roman" w:hAnsi="Times New Roman" w:cs="Times New Roman"/>
          <w:sz w:val="24"/>
          <w:szCs w:val="24"/>
        </w:rPr>
        <w:t xml:space="preserve"> Zhang</w:t>
      </w:r>
      <w:r w:rsidRPr="00576B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6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B0A">
        <w:rPr>
          <w:rFonts w:ascii="Times New Roman" w:hAnsi="Times New Roman" w:cs="Times New Roman"/>
          <w:sz w:val="24"/>
          <w:szCs w:val="24"/>
        </w:rPr>
        <w:t>Zhiqing</w:t>
      </w:r>
      <w:proofErr w:type="spellEnd"/>
      <w:r w:rsidRPr="00576B0A">
        <w:rPr>
          <w:rFonts w:ascii="Times New Roman" w:hAnsi="Times New Roman" w:cs="Times New Roman"/>
          <w:sz w:val="24"/>
          <w:szCs w:val="24"/>
        </w:rPr>
        <w:t xml:space="preserve"> Chen</w:t>
      </w:r>
      <w:r w:rsidRPr="00576B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6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B0A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576B0A">
        <w:rPr>
          <w:rFonts w:ascii="Times New Roman" w:hAnsi="Times New Roman" w:cs="Times New Roman"/>
          <w:sz w:val="24"/>
          <w:szCs w:val="24"/>
        </w:rPr>
        <w:t xml:space="preserve"> Shu</w:t>
      </w:r>
      <w:r w:rsidRPr="00576B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6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B0A">
        <w:rPr>
          <w:rFonts w:ascii="Times New Roman" w:hAnsi="Times New Roman" w:cs="Times New Roman"/>
          <w:sz w:val="24"/>
          <w:szCs w:val="24"/>
        </w:rPr>
        <w:t>Yincai</w:t>
      </w:r>
      <w:proofErr w:type="spellEnd"/>
      <w:r w:rsidRPr="00576B0A">
        <w:rPr>
          <w:rFonts w:ascii="Times New Roman" w:hAnsi="Times New Roman" w:cs="Times New Roman"/>
          <w:sz w:val="24"/>
          <w:szCs w:val="24"/>
        </w:rPr>
        <w:t xml:space="preserve"> Ye</w:t>
      </w:r>
      <w:r w:rsidRPr="00576B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6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B0A">
        <w:rPr>
          <w:rFonts w:ascii="Times New Roman" w:hAnsi="Times New Roman" w:cs="Times New Roman"/>
          <w:sz w:val="24"/>
          <w:szCs w:val="24"/>
        </w:rPr>
        <w:t>Jingye</w:t>
      </w:r>
      <w:proofErr w:type="spellEnd"/>
      <w:r w:rsidRPr="00576B0A">
        <w:rPr>
          <w:rFonts w:ascii="Times New Roman" w:hAnsi="Times New Roman" w:cs="Times New Roman"/>
          <w:sz w:val="24"/>
          <w:szCs w:val="24"/>
        </w:rPr>
        <w:t xml:space="preserve"> Pan</w:t>
      </w:r>
      <w:r w:rsidRPr="00576B0A">
        <w:rPr>
          <w:rFonts w:ascii="Times New Roman" w:hAnsi="Times New Roman" w:cs="Times New Roman"/>
          <w:sz w:val="24"/>
          <w:szCs w:val="24"/>
          <w:vertAlign w:val="superscript"/>
        </w:rPr>
        <w:t>1, *</w:t>
      </w:r>
    </w:p>
    <w:bookmarkEnd w:id="1"/>
    <w:p w14:paraId="551316FF" w14:textId="77777777" w:rsidR="002D7D0A" w:rsidRPr="00576B0A" w:rsidRDefault="002D7D0A" w:rsidP="00576B0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0D096" w14:textId="77777777" w:rsidR="00981DE4" w:rsidRPr="00576B0A" w:rsidRDefault="00981DE4" w:rsidP="00576B0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76B0A">
        <w:rPr>
          <w:rFonts w:ascii="Times New Roman" w:hAnsi="Times New Roman" w:cs="Times New Roman"/>
          <w:b/>
          <w:bCs/>
          <w:sz w:val="24"/>
          <w:szCs w:val="24"/>
        </w:rPr>
        <w:t>Brief introduction to IPTW and CBPS</w:t>
      </w:r>
      <w:r w:rsidRPr="00576B0A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2B4EE30F" w14:textId="77777777" w:rsidR="00981DE4" w:rsidRPr="00576B0A" w:rsidRDefault="00981DE4" w:rsidP="00576B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6B0A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576B0A">
        <w:rPr>
          <w:rFonts w:ascii="Times New Roman" w:hAnsi="Times New Roman" w:cs="Times New Roman"/>
          <w:sz w:val="24"/>
          <w:szCs w:val="24"/>
        </w:rPr>
        <w:t xml:space="preserve"> balance the TTE and non-TTE cohorts, we conducted a series of sensitivity analyses, including IPTW and CBPS. </w:t>
      </w:r>
    </w:p>
    <w:p w14:paraId="0C6984C1" w14:textId="77777777" w:rsidR="00981DE4" w:rsidRPr="00576B0A" w:rsidRDefault="00981DE4" w:rsidP="00576B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6B0A">
        <w:rPr>
          <w:rFonts w:ascii="Times New Roman" w:hAnsi="Times New Roman" w:cs="Times New Roman"/>
          <w:sz w:val="24"/>
          <w:szCs w:val="24"/>
        </w:rPr>
        <w:t xml:space="preserve">IPTW method: Inverse probability of treatment weighting (IPTW) is a popular method of using the propensity score (PS). Weight is calculated for each subject that is equal to the inverse of the probability of receiving the treatment that was </w:t>
      </w:r>
      <w:proofErr w:type="gramStart"/>
      <w:r w:rsidRPr="00576B0A">
        <w:rPr>
          <w:rFonts w:ascii="Times New Roman" w:hAnsi="Times New Roman" w:cs="Times New Roman"/>
          <w:sz w:val="24"/>
          <w:szCs w:val="24"/>
        </w:rPr>
        <w:t>actually received</w:t>
      </w:r>
      <w:proofErr w:type="gramEnd"/>
      <w:r w:rsidRPr="00576B0A">
        <w:rPr>
          <w:rFonts w:ascii="Times New Roman" w:hAnsi="Times New Roman" w:cs="Times New Roman"/>
          <w:sz w:val="24"/>
          <w:szCs w:val="24"/>
        </w:rPr>
        <w:t>. The TTE group was weighted by 1/PS, and the non-TTE group was weighted by 1/(1-</w:t>
      </w:r>
      <w:proofErr w:type="gramStart"/>
      <w:r w:rsidRPr="00576B0A">
        <w:rPr>
          <w:rFonts w:ascii="Times New Roman" w:hAnsi="Times New Roman" w:cs="Times New Roman"/>
          <w:sz w:val="24"/>
          <w:szCs w:val="24"/>
        </w:rPr>
        <w:t>PS)</w:t>
      </w:r>
      <w:r w:rsidRPr="00576B0A">
        <w:rPr>
          <w:rFonts w:ascii="Times New Roman" w:hAnsi="Times New Roman" w:cs="Times New Roman"/>
          <w:noProof/>
          <w:sz w:val="24"/>
          <w:szCs w:val="24"/>
        </w:rPr>
        <w:t>[</w:t>
      </w:r>
      <w:proofErr w:type="gramEnd"/>
      <w:r w:rsidRPr="00576B0A">
        <w:rPr>
          <w:rFonts w:ascii="Times New Roman" w:hAnsi="Times New Roman" w:cs="Times New Roman"/>
          <w:noProof/>
          <w:sz w:val="24"/>
          <w:szCs w:val="24"/>
        </w:rPr>
        <w:t>1]</w:t>
      </w:r>
      <w:r w:rsidRPr="00576B0A">
        <w:rPr>
          <w:rFonts w:ascii="Times New Roman" w:hAnsi="Times New Roman" w:cs="Times New Roman"/>
          <w:sz w:val="24"/>
          <w:szCs w:val="24"/>
        </w:rPr>
        <w:t xml:space="preserve">. These weights are then incorporated into the analyses to minimize the effects of observed </w:t>
      </w:r>
      <w:proofErr w:type="gramStart"/>
      <w:r w:rsidRPr="00576B0A">
        <w:rPr>
          <w:rFonts w:ascii="Times New Roman" w:hAnsi="Times New Roman" w:cs="Times New Roman"/>
          <w:sz w:val="24"/>
          <w:szCs w:val="24"/>
        </w:rPr>
        <w:t>confounding</w:t>
      </w:r>
      <w:r w:rsidRPr="00576B0A">
        <w:rPr>
          <w:rFonts w:ascii="Times New Roman" w:hAnsi="Times New Roman" w:cs="Times New Roman"/>
          <w:noProof/>
          <w:sz w:val="24"/>
          <w:szCs w:val="24"/>
        </w:rPr>
        <w:t>[</w:t>
      </w:r>
      <w:proofErr w:type="gramEnd"/>
      <w:r w:rsidRPr="00576B0A">
        <w:rPr>
          <w:rFonts w:ascii="Times New Roman" w:hAnsi="Times New Roman" w:cs="Times New Roman"/>
          <w:noProof/>
          <w:sz w:val="24"/>
          <w:szCs w:val="24"/>
        </w:rPr>
        <w:t>2]</w:t>
      </w:r>
      <w:r w:rsidRPr="00576B0A">
        <w:rPr>
          <w:rFonts w:ascii="Times New Roman" w:hAnsi="Times New Roman" w:cs="Times New Roman"/>
          <w:sz w:val="24"/>
          <w:szCs w:val="24"/>
        </w:rPr>
        <w:t>.</w:t>
      </w:r>
    </w:p>
    <w:p w14:paraId="47168C79" w14:textId="77777777" w:rsidR="00981DE4" w:rsidRPr="00576B0A" w:rsidRDefault="00981DE4" w:rsidP="00576B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6B0A">
        <w:rPr>
          <w:rFonts w:ascii="Times New Roman" w:hAnsi="Times New Roman" w:cs="Times New Roman"/>
          <w:sz w:val="24"/>
          <w:szCs w:val="24"/>
        </w:rPr>
        <w:t xml:space="preserve">CBPS method: “The CBPS exploits the dual characteristics of the propensity score as a covariate balancing score and the conditional probability of treatment assignment. The estimation of the CBPS is done within the generalized method-of-moments or empirical likelihood </w:t>
      </w:r>
      <w:proofErr w:type="gramStart"/>
      <w:r w:rsidRPr="00576B0A">
        <w:rPr>
          <w:rFonts w:ascii="Times New Roman" w:hAnsi="Times New Roman" w:cs="Times New Roman"/>
          <w:sz w:val="24"/>
          <w:szCs w:val="24"/>
        </w:rPr>
        <w:t>framework”</w:t>
      </w:r>
      <w:r w:rsidRPr="00576B0A">
        <w:rPr>
          <w:rFonts w:ascii="Times New Roman" w:hAnsi="Times New Roman" w:cs="Times New Roman"/>
          <w:noProof/>
          <w:sz w:val="24"/>
          <w:szCs w:val="24"/>
        </w:rPr>
        <w:t>[</w:t>
      </w:r>
      <w:proofErr w:type="gramEnd"/>
      <w:r w:rsidRPr="00576B0A">
        <w:rPr>
          <w:rFonts w:ascii="Times New Roman" w:hAnsi="Times New Roman" w:cs="Times New Roman"/>
          <w:noProof/>
          <w:sz w:val="24"/>
          <w:szCs w:val="24"/>
        </w:rPr>
        <w:t>3,4]</w:t>
      </w:r>
      <w:r w:rsidRPr="00576B0A">
        <w:rPr>
          <w:rFonts w:ascii="Times New Roman" w:hAnsi="Times New Roman" w:cs="Times New Roman"/>
          <w:sz w:val="24"/>
          <w:szCs w:val="24"/>
        </w:rPr>
        <w:t>. The propensity score for an individual was determined based on the given covariates of age, Sex, weight, race, HR, COPD, asthma, ARDS, sepsis, SOFA, OASIS, WBC, Hb, pH, pO</w:t>
      </w:r>
      <w:r w:rsidRPr="00576B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6B0A">
        <w:rPr>
          <w:rFonts w:ascii="Times New Roman" w:hAnsi="Times New Roman" w:cs="Times New Roman"/>
          <w:sz w:val="24"/>
          <w:szCs w:val="24"/>
        </w:rPr>
        <w:t>, pCO</w:t>
      </w:r>
      <w:r w:rsidRPr="00576B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6B0A">
        <w:rPr>
          <w:rFonts w:ascii="Times New Roman" w:hAnsi="Times New Roman" w:cs="Times New Roman"/>
          <w:sz w:val="24"/>
          <w:szCs w:val="24"/>
        </w:rPr>
        <w:t xml:space="preserve"> and lactate with a standard </w:t>
      </w:r>
      <w:r w:rsidRPr="00576B0A">
        <w:rPr>
          <w:rFonts w:ascii="Times New Roman" w:hAnsi="Times New Roman" w:cs="Times New Roman"/>
          <w:sz w:val="24"/>
          <w:szCs w:val="24"/>
        </w:rPr>
        <w:lastRenderedPageBreak/>
        <w:t>software package (CBPS package) for CBPS methodology.</w:t>
      </w:r>
    </w:p>
    <w:p w14:paraId="4717C5D0" w14:textId="77777777" w:rsidR="00981DE4" w:rsidRPr="00576B0A" w:rsidRDefault="00981DE4" w:rsidP="00576B0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C9DD1" w14:textId="77777777" w:rsidR="00981DE4" w:rsidRPr="00576B0A" w:rsidRDefault="00981DE4" w:rsidP="00576B0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B0A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Pr="00576B0A">
        <w:rPr>
          <w:rFonts w:ascii="Times New Roman" w:hAnsi="Times New Roman" w:cs="Times New Roman"/>
          <w:b/>
          <w:bCs/>
          <w:sz w:val="24"/>
          <w:szCs w:val="24"/>
        </w:rPr>
        <w:t>：</w:t>
      </w:r>
    </w:p>
    <w:p w14:paraId="5D0F5249" w14:textId="77777777" w:rsidR="00981DE4" w:rsidRPr="00576B0A" w:rsidRDefault="00981DE4" w:rsidP="00576B0A">
      <w:pPr>
        <w:pStyle w:val="EndNoteBibliography"/>
        <w:spacing w:line="480" w:lineRule="auto"/>
        <w:ind w:left="720" w:hanging="720"/>
        <w:rPr>
          <w:rFonts w:ascii="Times New Roman" w:eastAsiaTheme="minorEastAsia" w:hAnsi="Times New Roman" w:cs="Times New Roman"/>
          <w:noProof w:val="0"/>
          <w:sz w:val="24"/>
          <w:szCs w:val="24"/>
        </w:rPr>
      </w:pPr>
      <w:r w:rsidRPr="00576B0A">
        <w:rPr>
          <w:rFonts w:ascii="Times New Roman" w:eastAsiaTheme="minorEastAsia" w:hAnsi="Times New Roman" w:cs="Times New Roman"/>
          <w:noProof w:val="0"/>
          <w:sz w:val="24"/>
          <w:szCs w:val="24"/>
        </w:rPr>
        <w:t>1.</w:t>
      </w:r>
      <w:r w:rsidRPr="00576B0A">
        <w:rPr>
          <w:rFonts w:ascii="Times New Roman" w:eastAsiaTheme="minorEastAsia" w:hAnsi="Times New Roman" w:cs="Times New Roman"/>
          <w:noProof w:val="0"/>
          <w:sz w:val="24"/>
          <w:szCs w:val="24"/>
        </w:rPr>
        <w:tab/>
        <w:t xml:space="preserve">Funk MJ, </w:t>
      </w:r>
      <w:proofErr w:type="spellStart"/>
      <w:r w:rsidRPr="00576B0A">
        <w:rPr>
          <w:rFonts w:ascii="Times New Roman" w:eastAsiaTheme="minorEastAsia" w:hAnsi="Times New Roman" w:cs="Times New Roman"/>
          <w:noProof w:val="0"/>
          <w:sz w:val="24"/>
          <w:szCs w:val="24"/>
        </w:rPr>
        <w:t>Westreich</w:t>
      </w:r>
      <w:proofErr w:type="spellEnd"/>
      <w:r w:rsidRPr="00576B0A">
        <w:rPr>
          <w:rFonts w:ascii="Times New Roman" w:eastAsiaTheme="minorEastAsia" w:hAnsi="Times New Roman" w:cs="Times New Roman"/>
          <w:noProof w:val="0"/>
          <w:sz w:val="24"/>
          <w:szCs w:val="24"/>
        </w:rPr>
        <w:t xml:space="preserve"> D, </w:t>
      </w:r>
      <w:proofErr w:type="spellStart"/>
      <w:r w:rsidRPr="00576B0A">
        <w:rPr>
          <w:rFonts w:ascii="Times New Roman" w:eastAsiaTheme="minorEastAsia" w:hAnsi="Times New Roman" w:cs="Times New Roman"/>
          <w:noProof w:val="0"/>
          <w:sz w:val="24"/>
          <w:szCs w:val="24"/>
        </w:rPr>
        <w:t>Wiesen</w:t>
      </w:r>
      <w:proofErr w:type="spellEnd"/>
      <w:r w:rsidRPr="00576B0A">
        <w:rPr>
          <w:rFonts w:ascii="Times New Roman" w:eastAsiaTheme="minorEastAsia" w:hAnsi="Times New Roman" w:cs="Times New Roman"/>
          <w:noProof w:val="0"/>
          <w:sz w:val="24"/>
          <w:szCs w:val="24"/>
        </w:rPr>
        <w:t xml:space="preserve"> C, </w:t>
      </w:r>
      <w:proofErr w:type="spellStart"/>
      <w:r w:rsidRPr="00576B0A">
        <w:rPr>
          <w:rFonts w:ascii="Times New Roman" w:eastAsiaTheme="minorEastAsia" w:hAnsi="Times New Roman" w:cs="Times New Roman"/>
          <w:noProof w:val="0"/>
          <w:sz w:val="24"/>
          <w:szCs w:val="24"/>
        </w:rPr>
        <w:t>Stürmer</w:t>
      </w:r>
      <w:proofErr w:type="spellEnd"/>
      <w:r w:rsidRPr="00576B0A">
        <w:rPr>
          <w:rFonts w:ascii="Times New Roman" w:eastAsiaTheme="minorEastAsia" w:hAnsi="Times New Roman" w:cs="Times New Roman"/>
          <w:noProof w:val="0"/>
          <w:sz w:val="24"/>
          <w:szCs w:val="24"/>
        </w:rPr>
        <w:t xml:space="preserve"> T, Brookhart MA, Davidian M, (2011) Doubly robust estimation of causal effects. American journal of epidemiology 173: 761-767</w:t>
      </w:r>
    </w:p>
    <w:p w14:paraId="2FD4A1FF" w14:textId="77777777" w:rsidR="00981DE4" w:rsidRPr="00576B0A" w:rsidRDefault="00981DE4" w:rsidP="00576B0A">
      <w:pPr>
        <w:pStyle w:val="EndNoteBibliography"/>
        <w:spacing w:line="480" w:lineRule="auto"/>
        <w:ind w:left="720" w:hanging="720"/>
        <w:rPr>
          <w:rFonts w:ascii="Times New Roman" w:eastAsiaTheme="minorEastAsia" w:hAnsi="Times New Roman" w:cs="Times New Roman"/>
          <w:noProof w:val="0"/>
          <w:sz w:val="24"/>
          <w:szCs w:val="24"/>
        </w:rPr>
      </w:pPr>
      <w:r w:rsidRPr="00576B0A">
        <w:rPr>
          <w:rFonts w:ascii="Times New Roman" w:eastAsiaTheme="minorEastAsia" w:hAnsi="Times New Roman" w:cs="Times New Roman"/>
          <w:noProof w:val="0"/>
          <w:sz w:val="24"/>
          <w:szCs w:val="24"/>
        </w:rPr>
        <w:t>2.</w:t>
      </w:r>
      <w:r w:rsidRPr="00576B0A">
        <w:rPr>
          <w:rFonts w:ascii="Times New Roman" w:eastAsiaTheme="minorEastAsia" w:hAnsi="Times New Roman" w:cs="Times New Roman"/>
          <w:noProof w:val="0"/>
          <w:sz w:val="24"/>
          <w:szCs w:val="24"/>
        </w:rPr>
        <w:tab/>
        <w:t>Austin PC, (2016) Variance estimation when using inverse probability of treatment weighting (IPTW) with survival analysis. Statistics in medicine 35: 5642-5655</w:t>
      </w:r>
    </w:p>
    <w:p w14:paraId="0B57878F" w14:textId="77777777" w:rsidR="00981DE4" w:rsidRPr="00576B0A" w:rsidRDefault="00981DE4" w:rsidP="00576B0A">
      <w:pPr>
        <w:pStyle w:val="EndNoteBibliography"/>
        <w:spacing w:line="480" w:lineRule="auto"/>
        <w:ind w:left="720" w:hanging="720"/>
        <w:rPr>
          <w:rFonts w:ascii="Times New Roman" w:eastAsiaTheme="minorEastAsia" w:hAnsi="Times New Roman" w:cs="Times New Roman"/>
          <w:noProof w:val="0"/>
          <w:sz w:val="24"/>
          <w:szCs w:val="24"/>
        </w:rPr>
      </w:pPr>
      <w:r w:rsidRPr="00576B0A">
        <w:rPr>
          <w:rFonts w:ascii="Times New Roman" w:eastAsiaTheme="minorEastAsia" w:hAnsi="Times New Roman" w:cs="Times New Roman"/>
          <w:noProof w:val="0"/>
          <w:sz w:val="24"/>
          <w:szCs w:val="24"/>
        </w:rPr>
        <w:t>3.</w:t>
      </w:r>
      <w:r w:rsidRPr="00576B0A">
        <w:rPr>
          <w:rFonts w:ascii="Times New Roman" w:eastAsiaTheme="minorEastAsia" w:hAnsi="Times New Roman" w:cs="Times New Roman"/>
          <w:noProof w:val="0"/>
          <w:sz w:val="24"/>
          <w:szCs w:val="24"/>
        </w:rPr>
        <w:tab/>
        <w:t>Rubin DB, Thomas N, (1996) Matching using estimated propensity scores: relating theory to practice. Biometrics 52: 249-264</w:t>
      </w:r>
    </w:p>
    <w:p w14:paraId="37F83D36" w14:textId="77777777" w:rsidR="00981DE4" w:rsidRPr="00576B0A" w:rsidRDefault="00981DE4" w:rsidP="00576B0A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6B0A">
        <w:rPr>
          <w:rFonts w:ascii="Times New Roman" w:hAnsi="Times New Roman" w:cs="Times New Roman"/>
          <w:sz w:val="24"/>
          <w:szCs w:val="24"/>
        </w:rPr>
        <w:t xml:space="preserve">4. </w:t>
      </w:r>
      <w:r w:rsidRPr="00576B0A">
        <w:rPr>
          <w:rFonts w:ascii="Times New Roman" w:hAnsi="Times New Roman" w:cs="Times New Roman"/>
          <w:sz w:val="24"/>
          <w:szCs w:val="24"/>
        </w:rPr>
        <w:tab/>
        <w:t>Imai K, Ratkovic M, (2014). Covariate balancing propensity score. J R Stat Soc B 76:243–263.</w:t>
      </w:r>
    </w:p>
    <w:p w14:paraId="77D155AF" w14:textId="77777777" w:rsidR="003A6A34" w:rsidRPr="00576B0A" w:rsidRDefault="00706F99" w:rsidP="00576B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A6A34" w:rsidRPr="00576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5A82" w14:textId="77777777" w:rsidR="00706F99" w:rsidRDefault="00706F99" w:rsidP="00390420">
      <w:r>
        <w:separator/>
      </w:r>
    </w:p>
  </w:endnote>
  <w:endnote w:type="continuationSeparator" w:id="0">
    <w:p w14:paraId="34D2F85E" w14:textId="77777777" w:rsidR="00706F99" w:rsidRDefault="00706F99" w:rsidP="003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11B60" w14:textId="77777777" w:rsidR="00706F99" w:rsidRDefault="00706F99" w:rsidP="00390420">
      <w:r>
        <w:separator/>
      </w:r>
    </w:p>
  </w:footnote>
  <w:footnote w:type="continuationSeparator" w:id="0">
    <w:p w14:paraId="49ACE0BC" w14:textId="77777777" w:rsidR="00706F99" w:rsidRDefault="00706F99" w:rsidP="00390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E4"/>
    <w:rsid w:val="002D7D0A"/>
    <w:rsid w:val="00390420"/>
    <w:rsid w:val="00561F35"/>
    <w:rsid w:val="00576B0A"/>
    <w:rsid w:val="00706F99"/>
    <w:rsid w:val="00820708"/>
    <w:rsid w:val="0090095D"/>
    <w:rsid w:val="00981DE4"/>
    <w:rsid w:val="00E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A61AE"/>
  <w15:chartTrackingRefBased/>
  <w15:docId w15:val="{C49A06D2-437C-4306-9078-C0F371B5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981DE4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981DE4"/>
    <w:rPr>
      <w:rFonts w:ascii="等线" w:eastAsia="等线" w:hAnsi="等线"/>
      <w:noProof/>
      <w:sz w:val="20"/>
    </w:rPr>
  </w:style>
  <w:style w:type="paragraph" w:styleId="a3">
    <w:name w:val="header"/>
    <w:basedOn w:val="a"/>
    <w:link w:val="a4"/>
    <w:uiPriority w:val="99"/>
    <w:unhideWhenUsed/>
    <w:rsid w:val="00390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04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0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04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616561480@qq.com</dc:creator>
  <cp:keywords/>
  <dc:description/>
  <cp:lastModifiedBy>616561480@qq.com</cp:lastModifiedBy>
  <cp:revision>4</cp:revision>
  <dcterms:created xsi:type="dcterms:W3CDTF">2020-07-14T08:34:00Z</dcterms:created>
  <dcterms:modified xsi:type="dcterms:W3CDTF">2020-08-12T17:44:00Z</dcterms:modified>
</cp:coreProperties>
</file>