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6284A" w14:textId="068F04B6" w:rsidR="00523A9F" w:rsidRDefault="005E10AE" w:rsidP="00677850">
      <w:pPr>
        <w:keepNext/>
        <w:jc w:val="left"/>
      </w:pPr>
      <w:r w:rsidRPr="005E10AE">
        <w:rPr>
          <w:rFonts w:cstheme="majorBidi"/>
          <w:b/>
          <w:bCs/>
          <w:sz w:val="32"/>
          <w:szCs w:val="32"/>
        </w:rPr>
        <w:t>Additional File 1</w:t>
      </w:r>
      <w:r>
        <w:rPr>
          <w:rFonts w:cstheme="majorBidi"/>
          <w:b/>
          <w:bCs/>
          <w:sz w:val="32"/>
          <w:szCs w:val="32"/>
        </w:rPr>
        <w:t>3</w:t>
      </w:r>
      <w:r w:rsidR="00523A9F">
        <w:rPr>
          <w:noProof/>
        </w:rPr>
        <w:drawing>
          <wp:inline distT="0" distB="0" distL="0" distR="0" wp14:anchorId="7F854B61" wp14:editId="326A801D">
            <wp:extent cx="5178425" cy="2487295"/>
            <wp:effectExtent l="0" t="0" r="3175" b="825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78425" cy="2487295"/>
                    </a:xfrm>
                    <a:prstGeom prst="rect">
                      <a:avLst/>
                    </a:prstGeom>
                    <a:noFill/>
                    <a:ln>
                      <a:noFill/>
                    </a:ln>
                  </pic:spPr>
                </pic:pic>
              </a:graphicData>
            </a:graphic>
          </wp:inline>
        </w:drawing>
      </w:r>
    </w:p>
    <w:p w14:paraId="60E47D84" w14:textId="232273A0" w:rsidR="00523A9F" w:rsidRDefault="00523A9F" w:rsidP="00523A9F">
      <w:pPr>
        <w:pStyle w:val="a3"/>
      </w:pPr>
      <w:r>
        <w:rPr>
          <w:b/>
          <w:bCs/>
        </w:rPr>
        <w:t xml:space="preserve">Figure </w:t>
      </w:r>
      <w:r w:rsidR="00A73AB1">
        <w:rPr>
          <w:b/>
          <w:bCs/>
        </w:rPr>
        <w:t>S</w:t>
      </w:r>
      <w:r>
        <w:rPr>
          <w:b/>
          <w:bCs/>
        </w:rPr>
        <w:fldChar w:fldCharType="begin"/>
      </w:r>
      <w:r>
        <w:rPr>
          <w:b/>
          <w:bCs/>
        </w:rPr>
        <w:instrText xml:space="preserve"> SEQ Additional_Figure \* ARABIC </w:instrText>
      </w:r>
      <w:r>
        <w:rPr>
          <w:b/>
          <w:bCs/>
        </w:rPr>
        <w:fldChar w:fldCharType="separate"/>
      </w:r>
      <w:r w:rsidR="00F86E15">
        <w:rPr>
          <w:b/>
          <w:bCs/>
          <w:noProof/>
        </w:rPr>
        <w:t>1</w:t>
      </w:r>
      <w:r>
        <w:rPr>
          <w:b/>
          <w:bCs/>
        </w:rPr>
        <w:fldChar w:fldCharType="end"/>
      </w:r>
      <w:r>
        <w:rPr>
          <w:b/>
          <w:bCs/>
        </w:rPr>
        <w:t xml:space="preserve">. </w:t>
      </w:r>
      <w:r>
        <w:rPr>
          <w:rFonts w:eastAsia="宋体"/>
          <w:b/>
          <w:bCs/>
        </w:rPr>
        <w:t>Boxplots of relative expression levels of</w:t>
      </w:r>
      <w:r>
        <w:rPr>
          <w:b/>
          <w:bCs/>
        </w:rPr>
        <w:t xml:space="preserve"> HOXC13(A), KRT25(B), FOXN1(c), KRT71(D)</w:t>
      </w:r>
      <w:r>
        <w:rPr>
          <w:rFonts w:eastAsia="宋体"/>
          <w:b/>
          <w:bCs/>
        </w:rPr>
        <w:t>.</w:t>
      </w:r>
      <w:r>
        <w:rPr>
          <w:rFonts w:eastAsia="宋体"/>
        </w:rPr>
        <w:t xml:space="preserve"> The hair </w:t>
      </w:r>
      <w:r w:rsidR="001925F4">
        <w:rPr>
          <w:rFonts w:eastAsia="宋体"/>
        </w:rPr>
        <w:t>development</w:t>
      </w:r>
      <w:r>
        <w:rPr>
          <w:rFonts w:eastAsia="宋体"/>
        </w:rPr>
        <w:t xml:space="preserve"> related genes </w:t>
      </w:r>
      <w:r>
        <w:t xml:space="preserve">HOXC13(A), KRT25(B), FOXN1(C), KRT71(D) </w:t>
      </w:r>
      <w:r>
        <w:rPr>
          <w:rFonts w:eastAsia="宋体"/>
        </w:rPr>
        <w:t xml:space="preserve">were highly expressed </w:t>
      </w:r>
      <w:r w:rsidR="001925F4">
        <w:rPr>
          <w:rFonts w:eastAsia="宋体"/>
        </w:rPr>
        <w:t xml:space="preserve">at the beginning </w:t>
      </w:r>
      <w:r w:rsidR="00D1077E">
        <w:rPr>
          <w:rFonts w:eastAsia="宋体"/>
        </w:rPr>
        <w:t>of fast anagen progressing</w:t>
      </w:r>
      <w:r>
        <w:rPr>
          <w:rFonts w:eastAsia="宋体"/>
        </w:rPr>
        <w:t xml:space="preserve"> period from April to Ma</w:t>
      </w:r>
      <w:r w:rsidR="001925F4">
        <w:rPr>
          <w:rFonts w:eastAsia="宋体"/>
        </w:rPr>
        <w:t>y</w:t>
      </w:r>
      <w:r>
        <w:rPr>
          <w:rFonts w:eastAsia="宋体"/>
        </w:rPr>
        <w:t>, implying that they may be relative to the promotion of</w:t>
      </w:r>
      <w:r w:rsidR="00D1077E">
        <w:rPr>
          <w:rFonts w:eastAsia="宋体"/>
        </w:rPr>
        <w:t xml:space="preserve"> fast anagen progressing</w:t>
      </w:r>
      <w:r>
        <w:rPr>
          <w:rFonts w:eastAsia="宋体"/>
        </w:rPr>
        <w:t>.</w:t>
      </w:r>
    </w:p>
    <w:p w14:paraId="38B01A9A" w14:textId="27083F3F" w:rsidR="00814B5D" w:rsidRDefault="00814B5D">
      <w:pPr>
        <w:widowControl/>
        <w:jc w:val="left"/>
      </w:pPr>
      <w:r>
        <w:br w:type="page"/>
      </w:r>
    </w:p>
    <w:p w14:paraId="56F96421" w14:textId="66A080F2" w:rsidR="00523A9F" w:rsidRDefault="00523A9F" w:rsidP="00523A9F">
      <w:pPr>
        <w:keepNext/>
      </w:pPr>
      <w:r>
        <w:rPr>
          <w:noProof/>
        </w:rPr>
        <w:lastRenderedPageBreak/>
        <w:drawing>
          <wp:inline distT="0" distB="0" distL="0" distR="0" wp14:anchorId="37A9C42C" wp14:editId="5044488F">
            <wp:extent cx="5274310" cy="3735705"/>
            <wp:effectExtent l="0" t="0" r="254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3735705"/>
                    </a:xfrm>
                    <a:prstGeom prst="rect">
                      <a:avLst/>
                    </a:prstGeom>
                    <a:noFill/>
                    <a:ln>
                      <a:noFill/>
                    </a:ln>
                  </pic:spPr>
                </pic:pic>
              </a:graphicData>
            </a:graphic>
          </wp:inline>
        </w:drawing>
      </w:r>
    </w:p>
    <w:p w14:paraId="38832C31" w14:textId="2534BB3C" w:rsidR="00523A9F" w:rsidRDefault="00F86E15" w:rsidP="00523A9F">
      <w:pPr>
        <w:pStyle w:val="a3"/>
      </w:pPr>
      <w:r>
        <w:rPr>
          <w:b/>
          <w:bCs/>
        </w:rPr>
        <w:t>Figure S</w:t>
      </w:r>
      <w:r w:rsidR="00523A9F">
        <w:rPr>
          <w:b/>
          <w:bCs/>
        </w:rPr>
        <w:fldChar w:fldCharType="begin"/>
      </w:r>
      <w:r w:rsidR="00523A9F">
        <w:rPr>
          <w:b/>
          <w:bCs/>
        </w:rPr>
        <w:instrText xml:space="preserve"> SEQ Additional_Figure \* ARABIC </w:instrText>
      </w:r>
      <w:r w:rsidR="00523A9F">
        <w:rPr>
          <w:b/>
          <w:bCs/>
        </w:rPr>
        <w:fldChar w:fldCharType="separate"/>
      </w:r>
      <w:r w:rsidR="00523A9F">
        <w:rPr>
          <w:b/>
          <w:bCs/>
          <w:noProof/>
        </w:rPr>
        <w:t>2</w:t>
      </w:r>
      <w:r w:rsidR="00523A9F">
        <w:rPr>
          <w:b/>
          <w:bCs/>
        </w:rPr>
        <w:fldChar w:fldCharType="end"/>
      </w:r>
      <w:r w:rsidR="00523A9F">
        <w:rPr>
          <w:b/>
          <w:bCs/>
        </w:rPr>
        <w:t xml:space="preserve">. </w:t>
      </w:r>
      <w:r w:rsidR="00523A9F">
        <w:rPr>
          <w:rFonts w:eastAsia="宋体"/>
          <w:b/>
          <w:bCs/>
        </w:rPr>
        <w:t>Boxplots of relative expression levels in WNT signaling pathway (</w:t>
      </w:r>
      <w:r w:rsidR="00523A9F">
        <w:rPr>
          <w:b/>
          <w:bCs/>
        </w:rPr>
        <w:t>Wif-1(A), WNT11(B), FZD10(C), LEF1(D), NOTUM(E), SFRP2(F), WNT6(G)</w:t>
      </w:r>
      <w:r w:rsidR="00523A9F">
        <w:rPr>
          <w:rFonts w:eastAsia="宋体"/>
          <w:b/>
          <w:bCs/>
        </w:rPr>
        <w:t>).</w:t>
      </w:r>
      <w:r w:rsidR="00523A9F">
        <w:rPr>
          <w:rFonts w:eastAsia="宋体"/>
        </w:rPr>
        <w:t xml:space="preserve"> The expression of WNT pathway related genes was generally higher in April and lower in August, implying that WNT related genes may be related to the rapid progression of hair follicles into anagen phase in April and inhibited the growth of hair follicles on the eve of the second cashmere shedding period in August.</w:t>
      </w:r>
    </w:p>
    <w:p w14:paraId="1B43245A" w14:textId="492CE3D0" w:rsidR="00814B5D" w:rsidRDefault="00814B5D">
      <w:pPr>
        <w:widowControl/>
        <w:jc w:val="left"/>
      </w:pPr>
      <w:r>
        <w:br w:type="page"/>
      </w:r>
    </w:p>
    <w:p w14:paraId="79D64E48" w14:textId="5C631DC2" w:rsidR="00523A9F" w:rsidRDefault="00523A9F" w:rsidP="00523A9F">
      <w:pPr>
        <w:keepNext/>
      </w:pPr>
      <w:r>
        <w:rPr>
          <w:noProof/>
        </w:rPr>
        <w:lastRenderedPageBreak/>
        <w:drawing>
          <wp:inline distT="0" distB="0" distL="0" distR="0" wp14:anchorId="06D7903F" wp14:editId="10D527C3">
            <wp:extent cx="5265420" cy="257873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65420" cy="2578735"/>
                    </a:xfrm>
                    <a:prstGeom prst="rect">
                      <a:avLst/>
                    </a:prstGeom>
                    <a:noFill/>
                    <a:ln>
                      <a:noFill/>
                    </a:ln>
                  </pic:spPr>
                </pic:pic>
              </a:graphicData>
            </a:graphic>
          </wp:inline>
        </w:drawing>
      </w:r>
    </w:p>
    <w:p w14:paraId="2D862C33" w14:textId="10B8CE6F" w:rsidR="00523A9F" w:rsidRDefault="00F86E15" w:rsidP="00523A9F">
      <w:pPr>
        <w:pStyle w:val="a3"/>
      </w:pPr>
      <w:r>
        <w:rPr>
          <w:b/>
          <w:bCs/>
        </w:rPr>
        <w:t>Figure S</w:t>
      </w:r>
      <w:r w:rsidR="00523A9F">
        <w:rPr>
          <w:b/>
          <w:bCs/>
        </w:rPr>
        <w:fldChar w:fldCharType="begin"/>
      </w:r>
      <w:r w:rsidR="00523A9F">
        <w:rPr>
          <w:b/>
          <w:bCs/>
        </w:rPr>
        <w:instrText xml:space="preserve"> SEQ Additional_Figure \* ARABIC </w:instrText>
      </w:r>
      <w:r w:rsidR="00523A9F">
        <w:rPr>
          <w:b/>
          <w:bCs/>
        </w:rPr>
        <w:fldChar w:fldCharType="separate"/>
      </w:r>
      <w:r w:rsidR="00523A9F">
        <w:rPr>
          <w:b/>
          <w:bCs/>
          <w:noProof/>
        </w:rPr>
        <w:t>3</w:t>
      </w:r>
      <w:r w:rsidR="00523A9F">
        <w:rPr>
          <w:b/>
          <w:bCs/>
        </w:rPr>
        <w:fldChar w:fldCharType="end"/>
      </w:r>
      <w:r w:rsidR="00523A9F">
        <w:rPr>
          <w:b/>
          <w:bCs/>
        </w:rPr>
        <w:t xml:space="preserve">. Boxplots of relative expression </w:t>
      </w:r>
      <w:r w:rsidR="00523A9F">
        <w:rPr>
          <w:rFonts w:eastAsia="宋体"/>
          <w:b/>
          <w:bCs/>
        </w:rPr>
        <w:t xml:space="preserve">levels in </w:t>
      </w:r>
      <w:r w:rsidR="00523A9F">
        <w:rPr>
          <w:b/>
          <w:bCs/>
        </w:rPr>
        <w:t xml:space="preserve">Hedgehog </w:t>
      </w:r>
      <w:r w:rsidR="00523A9F">
        <w:rPr>
          <w:rFonts w:eastAsia="宋体"/>
          <w:b/>
          <w:bCs/>
        </w:rPr>
        <w:t>signaling pathway (</w:t>
      </w:r>
      <w:r w:rsidR="00523A9F">
        <w:rPr>
          <w:b/>
          <w:bCs/>
        </w:rPr>
        <w:t>Shh(A), PTCH1(B), PTCH2(C), FOXE1(D)</w:t>
      </w:r>
      <w:r w:rsidR="00523A9F">
        <w:rPr>
          <w:rFonts w:eastAsia="宋体"/>
          <w:b/>
          <w:bCs/>
        </w:rPr>
        <w:t>)</w:t>
      </w:r>
      <w:r w:rsidR="00523A9F">
        <w:rPr>
          <w:b/>
          <w:bCs/>
        </w:rPr>
        <w:t>.</w:t>
      </w:r>
      <w:r w:rsidR="00523A9F">
        <w:t xml:space="preserve"> The expression patterns of Hedgehog pathway related genes were similar with WNT, with generally higher expression in April and lower expression in August, which similarly implied that Hedgehog related genes may </w:t>
      </w:r>
      <w:r w:rsidR="00523A9F">
        <w:rPr>
          <w:rFonts w:eastAsiaTheme="minorEastAsia"/>
        </w:rPr>
        <w:t>related</w:t>
      </w:r>
      <w:r w:rsidR="00523A9F">
        <w:t xml:space="preserve"> to promoting anagen </w:t>
      </w:r>
      <w:r w:rsidR="00523A9F">
        <w:rPr>
          <w:rFonts w:eastAsiaTheme="minorEastAsia"/>
        </w:rPr>
        <w:t>transition</w:t>
      </w:r>
      <w:r w:rsidR="00523A9F">
        <w:t xml:space="preserve"> of hair follicles, whereas they inhibited hair follicle growth on the eve of the second shedding period in August.</w:t>
      </w:r>
    </w:p>
    <w:p w14:paraId="0F5A66BD" w14:textId="7AF80D8A" w:rsidR="00814B5D" w:rsidRDefault="00814B5D">
      <w:pPr>
        <w:widowControl/>
        <w:jc w:val="left"/>
      </w:pPr>
      <w:r>
        <w:br w:type="page"/>
      </w:r>
    </w:p>
    <w:p w14:paraId="1A241BB5" w14:textId="570D0AAF" w:rsidR="00523A9F" w:rsidRDefault="00523A9F" w:rsidP="00523A9F">
      <w:pPr>
        <w:keepNext/>
      </w:pPr>
      <w:r>
        <w:rPr>
          <w:noProof/>
        </w:rPr>
        <w:lastRenderedPageBreak/>
        <w:drawing>
          <wp:inline distT="0" distB="0" distL="0" distR="0" wp14:anchorId="16C58693" wp14:editId="1CA3E821">
            <wp:extent cx="5265420" cy="2565400"/>
            <wp:effectExtent l="0" t="0" r="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5420" cy="2565400"/>
                    </a:xfrm>
                    <a:prstGeom prst="rect">
                      <a:avLst/>
                    </a:prstGeom>
                    <a:noFill/>
                    <a:ln>
                      <a:noFill/>
                    </a:ln>
                  </pic:spPr>
                </pic:pic>
              </a:graphicData>
            </a:graphic>
          </wp:inline>
        </w:drawing>
      </w:r>
    </w:p>
    <w:p w14:paraId="7647A752" w14:textId="59BE0D17" w:rsidR="00523A9F" w:rsidRDefault="00F86E15" w:rsidP="00523A9F">
      <w:pPr>
        <w:pStyle w:val="a3"/>
      </w:pPr>
      <w:r>
        <w:rPr>
          <w:b/>
          <w:bCs/>
        </w:rPr>
        <w:t>Figure S</w:t>
      </w:r>
      <w:r w:rsidR="00523A9F">
        <w:rPr>
          <w:b/>
          <w:bCs/>
        </w:rPr>
        <w:fldChar w:fldCharType="begin"/>
      </w:r>
      <w:r w:rsidR="00523A9F">
        <w:rPr>
          <w:b/>
          <w:bCs/>
        </w:rPr>
        <w:instrText xml:space="preserve"> SEQ Additional_Figure \* ARABIC </w:instrText>
      </w:r>
      <w:r w:rsidR="00523A9F">
        <w:rPr>
          <w:b/>
          <w:bCs/>
        </w:rPr>
        <w:fldChar w:fldCharType="separate"/>
      </w:r>
      <w:r w:rsidR="00523A9F">
        <w:rPr>
          <w:b/>
          <w:bCs/>
          <w:noProof/>
        </w:rPr>
        <w:t>4</w:t>
      </w:r>
      <w:r w:rsidR="00523A9F">
        <w:rPr>
          <w:b/>
          <w:bCs/>
        </w:rPr>
        <w:fldChar w:fldCharType="end"/>
      </w:r>
      <w:r w:rsidR="00523A9F">
        <w:rPr>
          <w:b/>
          <w:bCs/>
        </w:rPr>
        <w:t xml:space="preserve">. Boxplots of relative expression </w:t>
      </w:r>
      <w:r w:rsidR="00523A9F">
        <w:rPr>
          <w:rFonts w:eastAsia="宋体"/>
          <w:b/>
          <w:bCs/>
        </w:rPr>
        <w:t xml:space="preserve">levels of </w:t>
      </w:r>
      <w:r w:rsidR="00523A9F">
        <w:rPr>
          <w:b/>
          <w:bCs/>
        </w:rPr>
        <w:t>ECM related genes</w:t>
      </w:r>
      <w:r w:rsidR="00523A9F">
        <w:rPr>
          <w:rFonts w:eastAsia="宋体"/>
          <w:b/>
          <w:bCs/>
        </w:rPr>
        <w:t xml:space="preserve"> (</w:t>
      </w:r>
      <w:r w:rsidR="00523A9F">
        <w:rPr>
          <w:b/>
          <w:bCs/>
        </w:rPr>
        <w:t>FREM1(A), FREM2(B), FRAS1(C), COL1A1(D), COL6A3(E), THBS3(F)</w:t>
      </w:r>
      <w:r w:rsidR="00523A9F">
        <w:rPr>
          <w:rFonts w:eastAsia="宋体"/>
          <w:b/>
          <w:bCs/>
        </w:rPr>
        <w:t>).</w:t>
      </w:r>
      <w:r w:rsidR="00523A9F">
        <w:rPr>
          <w:rFonts w:eastAsia="宋体"/>
        </w:rPr>
        <w:t xml:space="preserve"> The expressions of ECM genes were decreased from May to July</w:t>
      </w:r>
      <w:r w:rsidR="00E3210E">
        <w:rPr>
          <w:rFonts w:eastAsia="宋体"/>
        </w:rPr>
        <w:t>.</w:t>
      </w:r>
      <w:r w:rsidR="00523A9F">
        <w:rPr>
          <w:rFonts w:eastAsia="宋体"/>
        </w:rPr>
        <w:t xml:space="preserve"> </w:t>
      </w:r>
      <w:r w:rsidR="00E3210E">
        <w:rPr>
          <w:rFonts w:eastAsia="宋体"/>
        </w:rPr>
        <w:t>L</w:t>
      </w:r>
      <w:r w:rsidR="00523A9F">
        <w:rPr>
          <w:rFonts w:eastAsia="宋体"/>
        </w:rPr>
        <w:t>ow expression of these ECM genes may be associated with the second cashmere shedding period.</w:t>
      </w:r>
    </w:p>
    <w:p w14:paraId="35EAFA50" w14:textId="41AC37D7" w:rsidR="00814B5D" w:rsidRDefault="00814B5D">
      <w:pPr>
        <w:widowControl/>
        <w:jc w:val="left"/>
      </w:pPr>
      <w:r>
        <w:br w:type="page"/>
      </w:r>
    </w:p>
    <w:p w14:paraId="12919CEB" w14:textId="504E8715" w:rsidR="00523A9F" w:rsidRDefault="00523A9F" w:rsidP="00523A9F">
      <w:pPr>
        <w:keepNext/>
      </w:pPr>
      <w:r>
        <w:rPr>
          <w:noProof/>
        </w:rPr>
        <w:lastRenderedPageBreak/>
        <w:drawing>
          <wp:inline distT="0" distB="0" distL="0" distR="0" wp14:anchorId="32C86608" wp14:editId="227A7E5D">
            <wp:extent cx="5274310" cy="3735070"/>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4310" cy="3735070"/>
                    </a:xfrm>
                    <a:prstGeom prst="rect">
                      <a:avLst/>
                    </a:prstGeom>
                    <a:noFill/>
                    <a:ln>
                      <a:noFill/>
                    </a:ln>
                  </pic:spPr>
                </pic:pic>
              </a:graphicData>
            </a:graphic>
          </wp:inline>
        </w:drawing>
      </w:r>
    </w:p>
    <w:p w14:paraId="773D8C47" w14:textId="71BCF19A" w:rsidR="00523A9F" w:rsidRDefault="00F86E15" w:rsidP="00523A9F">
      <w:pPr>
        <w:pStyle w:val="a3"/>
      </w:pPr>
      <w:r>
        <w:rPr>
          <w:b/>
          <w:bCs/>
        </w:rPr>
        <w:t>Figure S</w:t>
      </w:r>
      <w:r w:rsidR="00523A9F">
        <w:rPr>
          <w:b/>
          <w:bCs/>
        </w:rPr>
        <w:fldChar w:fldCharType="begin"/>
      </w:r>
      <w:r w:rsidR="00523A9F">
        <w:rPr>
          <w:b/>
          <w:bCs/>
        </w:rPr>
        <w:instrText xml:space="preserve"> SEQ Additional_Figure \* ARABIC </w:instrText>
      </w:r>
      <w:r w:rsidR="00523A9F">
        <w:rPr>
          <w:b/>
          <w:bCs/>
        </w:rPr>
        <w:fldChar w:fldCharType="separate"/>
      </w:r>
      <w:r w:rsidR="00523A9F">
        <w:rPr>
          <w:b/>
          <w:bCs/>
          <w:noProof/>
        </w:rPr>
        <w:t>5</w:t>
      </w:r>
      <w:r w:rsidR="00523A9F">
        <w:rPr>
          <w:b/>
          <w:bCs/>
        </w:rPr>
        <w:fldChar w:fldCharType="end"/>
      </w:r>
      <w:r w:rsidR="00523A9F">
        <w:rPr>
          <w:b/>
          <w:bCs/>
        </w:rPr>
        <w:t xml:space="preserve">. Boxplots of relative expression </w:t>
      </w:r>
      <w:r w:rsidR="00523A9F">
        <w:rPr>
          <w:rFonts w:eastAsia="宋体"/>
          <w:b/>
          <w:bCs/>
        </w:rPr>
        <w:t>levels of</w:t>
      </w:r>
      <w:r w:rsidR="00523A9F">
        <w:rPr>
          <w:b/>
          <w:bCs/>
        </w:rPr>
        <w:t xml:space="preserve"> </w:t>
      </w:r>
      <w:r w:rsidR="00523A9F">
        <w:rPr>
          <w:rFonts w:eastAsia="宋体"/>
          <w:b/>
          <w:bCs/>
        </w:rPr>
        <w:t xml:space="preserve">Chemokine </w:t>
      </w:r>
      <w:r w:rsidR="00523A9F">
        <w:rPr>
          <w:b/>
          <w:bCs/>
        </w:rPr>
        <w:t xml:space="preserve">related genes (CCL22(A), LYN(B), PIK3CG(C), VAV1(D), RAC2(E), CCL17(F), CCL2(G), LOC102170772(H)). </w:t>
      </w:r>
      <w:r w:rsidR="00523A9F">
        <w:t>Chemokine genes function in the process of apoptosis. The chemokines were highly expressed from September to October, which may be associated with the second cashmere shedding.</w:t>
      </w:r>
    </w:p>
    <w:p w14:paraId="0F3B86BE" w14:textId="7072139B" w:rsidR="00814B5D" w:rsidRDefault="00814B5D">
      <w:pPr>
        <w:widowControl/>
        <w:jc w:val="left"/>
      </w:pPr>
      <w:r>
        <w:br w:type="page"/>
      </w:r>
    </w:p>
    <w:p w14:paraId="79ACDFBE" w14:textId="62855DA3" w:rsidR="00523A9F" w:rsidRDefault="00523A9F" w:rsidP="00523A9F">
      <w:pPr>
        <w:keepNext/>
      </w:pPr>
      <w:r>
        <w:rPr>
          <w:noProof/>
        </w:rPr>
        <w:lastRenderedPageBreak/>
        <w:drawing>
          <wp:inline distT="0" distB="0" distL="0" distR="0" wp14:anchorId="4CFF1653" wp14:editId="17102C6F">
            <wp:extent cx="5252085" cy="2634615"/>
            <wp:effectExtent l="0" t="0" r="571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52085" cy="2634615"/>
                    </a:xfrm>
                    <a:prstGeom prst="rect">
                      <a:avLst/>
                    </a:prstGeom>
                    <a:noFill/>
                    <a:ln>
                      <a:noFill/>
                    </a:ln>
                  </pic:spPr>
                </pic:pic>
              </a:graphicData>
            </a:graphic>
          </wp:inline>
        </w:drawing>
      </w:r>
    </w:p>
    <w:p w14:paraId="483B0F14" w14:textId="3B05E1B8" w:rsidR="00440F6B" w:rsidRPr="00104EB0" w:rsidRDefault="00F86E15" w:rsidP="005E10AE">
      <w:pPr>
        <w:pStyle w:val="a3"/>
      </w:pPr>
      <w:r>
        <w:rPr>
          <w:b/>
          <w:bCs/>
        </w:rPr>
        <w:t>Figure S</w:t>
      </w:r>
      <w:r w:rsidR="00523A9F">
        <w:rPr>
          <w:b/>
          <w:bCs/>
        </w:rPr>
        <w:fldChar w:fldCharType="begin"/>
      </w:r>
      <w:r w:rsidR="00523A9F">
        <w:rPr>
          <w:b/>
          <w:bCs/>
        </w:rPr>
        <w:instrText xml:space="preserve"> SEQ Additional_Figure \* ARABIC </w:instrText>
      </w:r>
      <w:r w:rsidR="00523A9F">
        <w:rPr>
          <w:b/>
          <w:bCs/>
        </w:rPr>
        <w:fldChar w:fldCharType="separate"/>
      </w:r>
      <w:r w:rsidR="00523A9F">
        <w:rPr>
          <w:b/>
          <w:bCs/>
          <w:noProof/>
        </w:rPr>
        <w:t>6</w:t>
      </w:r>
      <w:r w:rsidR="00523A9F">
        <w:rPr>
          <w:b/>
          <w:bCs/>
        </w:rPr>
        <w:fldChar w:fldCharType="end"/>
      </w:r>
      <w:r w:rsidR="00523A9F">
        <w:rPr>
          <w:b/>
          <w:bCs/>
        </w:rPr>
        <w:t xml:space="preserve">. Boxplots of relative expression </w:t>
      </w:r>
      <w:r w:rsidR="00523A9F">
        <w:rPr>
          <w:rFonts w:eastAsia="宋体"/>
          <w:b/>
          <w:bCs/>
        </w:rPr>
        <w:t xml:space="preserve">levels in </w:t>
      </w:r>
      <w:r w:rsidR="00523A9F">
        <w:rPr>
          <w:b/>
          <w:bCs/>
        </w:rPr>
        <w:t>NF-</w:t>
      </w:r>
      <w:proofErr w:type="spellStart"/>
      <w:r w:rsidR="00523A9F">
        <w:rPr>
          <w:b/>
          <w:bCs/>
        </w:rPr>
        <w:t>κB</w:t>
      </w:r>
      <w:proofErr w:type="spellEnd"/>
      <w:r w:rsidR="00523A9F">
        <w:rPr>
          <w:b/>
          <w:bCs/>
        </w:rPr>
        <w:t xml:space="preserve"> </w:t>
      </w:r>
      <w:r w:rsidR="00523A9F">
        <w:rPr>
          <w:rFonts w:eastAsia="宋体"/>
          <w:b/>
          <w:bCs/>
        </w:rPr>
        <w:t>signaling pathway (ZAP70(A), LYN(B), BTK(C), CD40LG(D), LTB(E)).</w:t>
      </w:r>
      <w:r w:rsidR="00523A9F">
        <w:rPr>
          <w:rFonts w:eastAsia="宋体"/>
        </w:rPr>
        <w:t xml:space="preserve"> These genes were expressed at higher levels in September, which possibly related to the progression of the subsequent </w:t>
      </w:r>
      <w:r w:rsidR="00E3210E">
        <w:rPr>
          <w:rFonts w:eastAsia="宋体"/>
        </w:rPr>
        <w:t>cashmere growth</w:t>
      </w:r>
      <w:r w:rsidR="00523A9F">
        <w:rPr>
          <w:rFonts w:eastAsia="宋体"/>
        </w:rPr>
        <w:t>. At the same time, LYN in September and October could induce the activation of chemokines, which possibly related to the second cashmere shedding.</w:t>
      </w:r>
    </w:p>
    <w:sectPr w:rsidR="00440F6B" w:rsidRPr="00104EB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ACA35" w14:textId="77777777" w:rsidR="003F6809" w:rsidRDefault="003F6809" w:rsidP="001925F4">
      <w:r>
        <w:separator/>
      </w:r>
    </w:p>
  </w:endnote>
  <w:endnote w:type="continuationSeparator" w:id="0">
    <w:p w14:paraId="166C3261" w14:textId="77777777" w:rsidR="003F6809" w:rsidRDefault="003F6809" w:rsidP="00192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56D51" w14:textId="77777777" w:rsidR="003F6809" w:rsidRDefault="003F6809" w:rsidP="001925F4">
      <w:r>
        <w:separator/>
      </w:r>
    </w:p>
  </w:footnote>
  <w:footnote w:type="continuationSeparator" w:id="0">
    <w:p w14:paraId="2D486DCF" w14:textId="77777777" w:rsidR="003F6809" w:rsidRDefault="003F6809" w:rsidP="001925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A9F"/>
    <w:rsid w:val="0002112F"/>
    <w:rsid w:val="000D5F9A"/>
    <w:rsid w:val="00104EB0"/>
    <w:rsid w:val="001925F4"/>
    <w:rsid w:val="00266B50"/>
    <w:rsid w:val="00272D17"/>
    <w:rsid w:val="002A2BDE"/>
    <w:rsid w:val="002D2004"/>
    <w:rsid w:val="00327F8C"/>
    <w:rsid w:val="003833E8"/>
    <w:rsid w:val="003F6809"/>
    <w:rsid w:val="00440F6B"/>
    <w:rsid w:val="00466116"/>
    <w:rsid w:val="00523A9F"/>
    <w:rsid w:val="005E10AE"/>
    <w:rsid w:val="00677850"/>
    <w:rsid w:val="007B1BE3"/>
    <w:rsid w:val="00814B5D"/>
    <w:rsid w:val="008D4A8B"/>
    <w:rsid w:val="00A23628"/>
    <w:rsid w:val="00A41B33"/>
    <w:rsid w:val="00A73AB1"/>
    <w:rsid w:val="00B70DEF"/>
    <w:rsid w:val="00C12650"/>
    <w:rsid w:val="00CB0A89"/>
    <w:rsid w:val="00CB5EFB"/>
    <w:rsid w:val="00D1077E"/>
    <w:rsid w:val="00DB4AAD"/>
    <w:rsid w:val="00E3210E"/>
    <w:rsid w:val="00EC0562"/>
    <w:rsid w:val="00F86E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753E5F"/>
  <w15:chartTrackingRefBased/>
  <w15:docId w15:val="{5D5C332A-7064-481D-A006-1199759E9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4EB0"/>
    <w:pPr>
      <w:widowControl w:val="0"/>
      <w:jc w:val="both"/>
    </w:pPr>
    <w:rPr>
      <w:rFonts w:ascii="Times New Roman" w:eastAsia="宋体" w:hAnsi="Times New Roman" w:cs="Times New Roman"/>
      <w:sz w:val="24"/>
      <w:szCs w:val="24"/>
    </w:rPr>
  </w:style>
  <w:style w:type="paragraph" w:styleId="2">
    <w:name w:val="heading 2"/>
    <w:basedOn w:val="a"/>
    <w:next w:val="a"/>
    <w:link w:val="20"/>
    <w:uiPriority w:val="9"/>
    <w:semiHidden/>
    <w:unhideWhenUsed/>
    <w:qFormat/>
    <w:rsid w:val="00523A9F"/>
    <w:pPr>
      <w:keepNext/>
      <w:keepLines/>
      <w:spacing w:before="260" w:after="260" w:line="415" w:lineRule="auto"/>
      <w:outlineLvl w:val="1"/>
    </w:pPr>
    <w:rPr>
      <w:rFonts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semiHidden/>
    <w:rsid w:val="00523A9F"/>
    <w:rPr>
      <w:rFonts w:ascii="Times New Roman" w:eastAsia="宋体" w:hAnsi="Times New Roman" w:cstheme="majorBidi"/>
      <w:b/>
      <w:bCs/>
      <w:sz w:val="32"/>
      <w:szCs w:val="32"/>
    </w:rPr>
  </w:style>
  <w:style w:type="paragraph" w:styleId="a3">
    <w:name w:val="caption"/>
    <w:basedOn w:val="a"/>
    <w:next w:val="a"/>
    <w:unhideWhenUsed/>
    <w:qFormat/>
    <w:rsid w:val="00523A9F"/>
    <w:rPr>
      <w:rFonts w:eastAsia="黑体" w:cstheme="majorBidi"/>
    </w:rPr>
  </w:style>
  <w:style w:type="paragraph" w:styleId="a4">
    <w:name w:val="header"/>
    <w:basedOn w:val="a"/>
    <w:link w:val="a5"/>
    <w:uiPriority w:val="99"/>
    <w:unhideWhenUsed/>
    <w:rsid w:val="001925F4"/>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1925F4"/>
    <w:rPr>
      <w:rFonts w:ascii="Times New Roman" w:eastAsia="宋体" w:hAnsi="Times New Roman" w:cs="Times New Roman"/>
      <w:sz w:val="18"/>
      <w:szCs w:val="18"/>
    </w:rPr>
  </w:style>
  <w:style w:type="paragraph" w:styleId="a6">
    <w:name w:val="footer"/>
    <w:basedOn w:val="a"/>
    <w:link w:val="a7"/>
    <w:uiPriority w:val="99"/>
    <w:unhideWhenUsed/>
    <w:rsid w:val="001925F4"/>
    <w:pPr>
      <w:tabs>
        <w:tab w:val="center" w:pos="4153"/>
        <w:tab w:val="right" w:pos="8306"/>
      </w:tabs>
      <w:snapToGrid w:val="0"/>
      <w:jc w:val="left"/>
    </w:pPr>
    <w:rPr>
      <w:sz w:val="18"/>
      <w:szCs w:val="18"/>
    </w:rPr>
  </w:style>
  <w:style w:type="character" w:customStyle="1" w:styleId="a7">
    <w:name w:val="页脚 字符"/>
    <w:basedOn w:val="a0"/>
    <w:link w:val="a6"/>
    <w:uiPriority w:val="99"/>
    <w:rsid w:val="001925F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23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384</Words>
  <Characters>2194</Characters>
  <Application>Microsoft Office Word</Application>
  <DocSecurity>0</DocSecurity>
  <Lines>18</Lines>
  <Paragraphs>5</Paragraphs>
  <ScaleCrop>false</ScaleCrop>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 Cloud</dc:creator>
  <cp:keywords/>
  <dc:description/>
  <cp:lastModifiedBy>Ma Cloud</cp:lastModifiedBy>
  <cp:revision>22</cp:revision>
  <dcterms:created xsi:type="dcterms:W3CDTF">2021-04-29T12:12:00Z</dcterms:created>
  <dcterms:modified xsi:type="dcterms:W3CDTF">2021-06-01T07:33:00Z</dcterms:modified>
</cp:coreProperties>
</file>