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p>
    <w:p>
      <w:pPr>
        <w:spacing w:line="360" w:lineRule="auto"/>
        <w:jc w:val="center"/>
        <w:rPr>
          <w:sz w:val="28"/>
        </w:rPr>
      </w:pPr>
      <w:r>
        <w:rPr>
          <w:b/>
          <w:sz w:val="22"/>
        </w:rPr>
        <w:t>Supplementary data in this cohort</w:t>
      </w:r>
    </w:p>
    <w:p>
      <w:pPr>
        <w:spacing w:line="360" w:lineRule="auto"/>
        <w:jc w:val="left"/>
        <w:rPr>
          <w:rFonts w:eastAsia="宋体" w:cs="Times New Roman"/>
          <w:bCs/>
          <w:sz w:val="24"/>
          <w:szCs w:val="28"/>
        </w:rPr>
      </w:pPr>
      <w:r>
        <w:rPr>
          <w:sz w:val="24"/>
          <w:szCs w:val="28"/>
        </w:rPr>
        <w:t xml:space="preserve">Title: </w:t>
      </w:r>
      <w:r>
        <w:rPr>
          <w:rFonts w:eastAsia="宋体" w:cs="Times New Roman"/>
          <w:bCs/>
          <w:sz w:val="24"/>
          <w:szCs w:val="28"/>
        </w:rPr>
        <w:t xml:space="preserve">Clinical characteristics and outcome of COVID-19-Associated pulmonary Aspergillosis patients (CAPA): a systematic review and meta-analysis with </w:t>
      </w:r>
      <w:r>
        <w:rPr>
          <w:rFonts w:hint="eastAsia" w:eastAsia="宋体" w:cs="Times New Roman"/>
          <w:bCs/>
          <w:sz w:val="24"/>
          <w:szCs w:val="28"/>
        </w:rPr>
        <w:t xml:space="preserve">29 </w:t>
      </w:r>
      <w:r>
        <w:rPr>
          <w:rFonts w:eastAsia="宋体" w:cs="Times New Roman"/>
          <w:bCs/>
          <w:sz w:val="24"/>
          <w:szCs w:val="28"/>
        </w:rPr>
        <w:t>cohort stud</w:t>
      </w:r>
      <w:r>
        <w:rPr>
          <w:rFonts w:hint="eastAsia" w:eastAsia="宋体" w:cs="Times New Roman"/>
          <w:bCs/>
          <w:sz w:val="24"/>
          <w:szCs w:val="28"/>
        </w:rPr>
        <w:t>ies</w:t>
      </w:r>
    </w:p>
    <w:p>
      <w:pPr>
        <w:spacing w:line="360" w:lineRule="auto"/>
        <w:rPr>
          <w:sz w:val="24"/>
          <w:szCs w:val="28"/>
        </w:rPr>
      </w:pPr>
      <w:r>
        <w:rPr>
          <w:rFonts w:hint="eastAsia"/>
          <w:sz w:val="24"/>
          <w:szCs w:val="28"/>
        </w:rPr>
        <w:t>A</w:t>
      </w:r>
      <w:r>
        <w:rPr>
          <w:sz w:val="24"/>
          <w:szCs w:val="28"/>
        </w:rPr>
        <w:t>uthors: Wensen Chen, Cheng</w:t>
      </w:r>
      <w:r>
        <w:rPr>
          <w:sz w:val="24"/>
          <w:szCs w:val="28"/>
        </w:rPr>
        <w:t xml:space="preserve"> Yin</w:t>
      </w:r>
      <w:bookmarkStart w:id="0" w:name="_GoBack"/>
      <w:bookmarkEnd w:id="0"/>
      <w:r>
        <w:rPr>
          <w:sz w:val="24"/>
          <w:szCs w:val="28"/>
        </w:rPr>
        <w:t>, Ming Zhong, Bijie Hu, Xiaodong Gao, Kai Zhang, Yun Liu, Guihua Zhuang</w:t>
      </w:r>
    </w:p>
    <w:p>
      <w:pPr>
        <w:widowControl/>
        <w:jc w:val="left"/>
      </w:pPr>
      <w:r>
        <w:br w:type="page"/>
      </w:r>
    </w:p>
    <w:p>
      <w:pPr>
        <w:spacing w:line="360" w:lineRule="auto"/>
        <w:rPr>
          <w:b/>
        </w:rPr>
      </w:pPr>
    </w:p>
    <w:tbl>
      <w:tblPr>
        <w:tblStyle w:val="10"/>
        <w:tblW w:w="15180" w:type="dxa"/>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4"/>
        <w:gridCol w:w="1017"/>
        <w:gridCol w:w="1485"/>
        <w:gridCol w:w="1124"/>
        <w:gridCol w:w="1241"/>
        <w:gridCol w:w="1007"/>
        <w:gridCol w:w="1063"/>
        <w:gridCol w:w="1142"/>
        <w:gridCol w:w="699"/>
        <w:gridCol w:w="978"/>
        <w:gridCol w:w="880"/>
        <w:gridCol w:w="695"/>
        <w:gridCol w:w="978"/>
        <w:gridCol w:w="1347"/>
      </w:tblGrid>
      <w:tr>
        <w:trPr>
          <w:trHeight w:val="220" w:hRule="atLeast"/>
        </w:trPr>
        <w:tc>
          <w:tcPr>
            <w:tcW w:w="15180" w:type="dxa"/>
            <w:gridSpan w:val="14"/>
            <w:tcBorders>
              <w:bottom w:val="single" w:color="7E7E7E" w:themeColor="text1" w:themeTint="80" w:sz="4" w:space="0"/>
              <w:insideH w:val="single" w:sz="4" w:space="0"/>
            </w:tcBorders>
            <w:noWrap/>
          </w:tcPr>
          <w:p>
            <w:pPr>
              <w:widowControl/>
              <w:jc w:val="center"/>
              <w:textAlignment w:val="center"/>
              <w:rPr>
                <w:rFonts w:ascii="Times New Roman Bold" w:hAnsi="Times New Roman Bold" w:eastAsia="Times New Roman Bold" w:cs="Times New Roman Bold"/>
                <w:b w:val="0"/>
                <w:bCs w:val="0"/>
                <w:color w:val="000000"/>
                <w:kern w:val="0"/>
                <w:sz w:val="24"/>
              </w:rPr>
            </w:pPr>
            <w:r>
              <w:rPr>
                <w:rFonts w:hint="eastAsia" w:cs="Times New Roman Bold" w:asciiTheme="minorEastAsia" w:hAnsiTheme="minorEastAsia" w:eastAsiaTheme="minorEastAsia"/>
                <w:b/>
                <w:bCs/>
                <w:color w:val="000000"/>
                <w:kern w:val="0"/>
                <w:sz w:val="24"/>
                <w:lang w:bidi="ar"/>
              </w:rPr>
              <w:t>S</w:t>
            </w:r>
            <w:r>
              <w:rPr>
                <w:rFonts w:ascii="Times New Roman Bold" w:hAnsi="Times New Roman Bold" w:eastAsia="Times New Roman Bold" w:cs="Times New Roman Bold"/>
                <w:b/>
                <w:bCs/>
                <w:color w:val="000000"/>
                <w:kern w:val="0"/>
                <w:sz w:val="24"/>
                <w:lang w:bidi="ar"/>
              </w:rPr>
              <w:t>upplementary 1 Characteristics of 29 cohort stud</w:t>
            </w:r>
            <w:r>
              <w:rPr>
                <w:rFonts w:hint="eastAsia" w:ascii="Times New Roman Bold" w:hAnsi="Times New Roman Bold" w:eastAsia="Times New Roman Bold" w:cs="Times New Roman Bold"/>
                <w:b/>
                <w:bCs/>
                <w:color w:val="000000"/>
                <w:kern w:val="0"/>
                <w:sz w:val="24"/>
                <w:lang w:eastAsia="zh-Hans" w:bidi="ar"/>
              </w:rPr>
              <w:t>ies</w:t>
            </w:r>
            <w:r>
              <w:rPr>
                <w:rFonts w:ascii="Times New Roman Bold" w:hAnsi="Times New Roman Bold" w:eastAsia="Times New Roman Bold" w:cs="Times New Roman Bold"/>
                <w:b/>
                <w:bCs/>
                <w:color w:val="000000"/>
                <w:kern w:val="0"/>
                <w:sz w:val="24"/>
                <w:lang w:bidi="ar"/>
              </w:rPr>
              <w:t xml:space="preserve"> in this </w:t>
            </w:r>
            <w:r>
              <w:rPr>
                <w:rFonts w:hint="eastAsia" w:ascii="Times New Roman Bold" w:hAnsi="Times New Roman Bold" w:eastAsia="Times New Roman Bold" w:cs="Times New Roman Bold"/>
                <w:b/>
                <w:bCs/>
                <w:color w:val="000000"/>
                <w:kern w:val="0"/>
                <w:sz w:val="24"/>
                <w:lang w:bidi="ar"/>
              </w:rPr>
              <w:t>meta-analysis</w:t>
            </w:r>
          </w:p>
        </w:tc>
      </w:tr>
      <w:tr>
        <w:trPr>
          <w:trHeight w:val="1992"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val="0"/>
                <w:bCs w:val="0"/>
                <w:kern w:val="0"/>
                <w:sz w:val="24"/>
              </w:rPr>
            </w:pPr>
            <w:r>
              <w:rPr>
                <w:rFonts w:hint="eastAsia" w:ascii="Times New Roman Regular" w:hAnsi="Times New Roman Regular" w:eastAsia="Times New Roman Regular" w:cs="Times New Roman Regular"/>
                <w:b/>
                <w:bCs/>
                <w:kern w:val="0"/>
                <w:sz w:val="24"/>
                <w:lang w:bidi="ar"/>
              </w:rPr>
              <w:t>Author</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Publication Year</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kern w:val="0"/>
                <w:sz w:val="24"/>
              </w:rPr>
            </w:pPr>
            <w:r>
              <w:rPr>
                <w:rFonts w:hint="eastAsia" w:ascii="Times New Roman Regular" w:hAnsi="Times New Roman Regular" w:eastAsia="Times New Roman Regular" w:cs="Times New Roman Regular"/>
                <w:b/>
                <w:bCs/>
                <w:kern w:val="0"/>
                <w:sz w:val="24"/>
                <w:lang w:bidi="ar"/>
              </w:rPr>
              <w:t>Participants</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Study Design</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Study period</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Location of Study</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 xml:space="preserve">Characteristics of </w:t>
            </w:r>
            <w:r>
              <w:rPr>
                <w:rFonts w:hint="eastAsia" w:ascii="Times New Roman Regular" w:hAnsi="Times New Roman Regular" w:eastAsia="Times New Roman Regular" w:cs="Times New Roman Regular"/>
                <w:b/>
                <w:bCs/>
                <w:kern w:val="0"/>
                <w:sz w:val="24"/>
                <w:lang w:bidi="ar"/>
              </w:rPr>
              <w:t xml:space="preserve">the </w:t>
            </w:r>
            <w:r>
              <w:rPr>
                <w:rFonts w:ascii="Times New Roman Regular" w:hAnsi="Times New Roman Regular" w:eastAsia="Times New Roman Regular" w:cs="Times New Roman Regular"/>
                <w:b/>
                <w:bCs/>
                <w:kern w:val="0"/>
                <w:sz w:val="24"/>
                <w:lang w:bidi="ar"/>
              </w:rPr>
              <w:t>patients</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b/>
                <w:bCs/>
                <w:kern w:val="0"/>
                <w:sz w:val="24"/>
              </w:rPr>
            </w:pPr>
            <w:r>
              <w:rPr>
                <w:rFonts w:hint="eastAsia" w:ascii="Times New Roman Regular" w:hAnsi="Times New Roman Regular" w:eastAsia="Times New Roman Regular" w:cs="Times New Roman Regular"/>
                <w:b/>
                <w:bCs/>
                <w:kern w:val="0"/>
                <w:sz w:val="24"/>
                <w:lang w:bidi="ar"/>
              </w:rPr>
              <w:t>P</w:t>
            </w:r>
            <w:r>
              <w:rPr>
                <w:rFonts w:ascii="Times New Roman Regular" w:hAnsi="Times New Roman Regular" w:eastAsia="Times New Roman Regular" w:cs="Times New Roman Regular"/>
                <w:b/>
                <w:bCs/>
                <w:kern w:val="0"/>
                <w:sz w:val="24"/>
                <w:lang w:bidi="ar"/>
              </w:rPr>
              <w:t>atients investigate for CAPA</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CAPA</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CAPA Incidence</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Mortality</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b/>
                <w:bCs/>
                <w:kern w:val="0"/>
                <w:sz w:val="24"/>
              </w:rPr>
            </w:pPr>
            <w:r>
              <w:rPr>
                <w:rFonts w:hint="eastAsia" w:ascii="Times New Roman Regular" w:hAnsi="Times New Roman Regular" w:eastAsia="Times New Roman Regular" w:cs="Times New Roman Regular"/>
                <w:b/>
                <w:bCs/>
                <w:kern w:val="0"/>
                <w:sz w:val="24"/>
                <w:lang w:bidi="ar"/>
              </w:rPr>
              <w:t>CFR</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Quality assessment by NOS</w:t>
            </w:r>
          </w:p>
        </w:tc>
        <w:tc>
          <w:tcPr>
            <w:tcW w:w="134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b/>
                <w:bCs/>
                <w:kern w:val="0"/>
                <w:sz w:val="24"/>
              </w:rPr>
            </w:pPr>
            <w:r>
              <w:rPr>
                <w:rFonts w:ascii="Times New Roman Regular" w:hAnsi="Times New Roman Regular" w:eastAsia="Times New Roman Regular" w:cs="Times New Roman Regular"/>
                <w:b/>
                <w:bCs/>
                <w:kern w:val="0"/>
                <w:sz w:val="24"/>
                <w:lang w:bidi="ar"/>
              </w:rPr>
              <w:t>Follow up</w:t>
            </w:r>
          </w:p>
        </w:tc>
      </w:tr>
      <w:tr>
        <w:trPr>
          <w:trHeight w:val="1351"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Alanio A, 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27 successive mechanically ventilated </w:t>
            </w:r>
            <w:r>
              <w:rPr>
                <w:rFonts w:ascii="Times New Roman Regular" w:hAnsi="Times New Roman Regular" w:eastAsia="Times New Roman Regular" w:cs="Times New Roman Regular"/>
                <w:color w:val="000000"/>
                <w:kern w:val="0"/>
                <w:sz w:val="24"/>
                <w:lang w:bidi="ar"/>
              </w:rPr>
              <w:br w:type="textWrapping"/>
            </w:r>
            <w:r>
              <w:rPr>
                <w:rFonts w:ascii="Times New Roman Regular" w:hAnsi="Times New Roman Regular" w:eastAsia="Times New Roman Regular" w:cs="Times New Roman Regular"/>
                <w:color w:val="000000"/>
                <w:kern w:val="0"/>
                <w:sz w:val="24"/>
                <w:lang w:bidi="ar"/>
              </w:rPr>
              <w:t>patients with COVID-19</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Prospective cohort study</w:t>
            </w:r>
          </w:p>
        </w:tc>
        <w:tc>
          <w:tcPr>
            <w:tcW w:w="1241" w:type="dxa"/>
            <w:noWrap/>
          </w:tcPr>
          <w:p>
            <w:pPr>
              <w:rPr>
                <w:rFonts w:ascii="Times New Roman Regular" w:hAnsi="Times New Roman Regular" w:eastAsia="Times New Roman Regular" w:cs="Times New Roman Regular"/>
                <w:color w:val="000000"/>
                <w:kern w:val="0"/>
                <w:sz w:val="24"/>
              </w:rPr>
            </w:pP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France</w:t>
            </w:r>
          </w:p>
        </w:tc>
        <w:tc>
          <w:tcPr>
            <w:tcW w:w="1063" w:type="dxa"/>
            <w:noWrap/>
          </w:tcPr>
          <w:p>
            <w:pPr>
              <w:rPr>
                <w:rFonts w:ascii="Times New Roman Regular" w:hAnsi="Times New Roman Regular" w:eastAsia="Times New Roman Regular" w:cs="Times New Roman Regular"/>
                <w:color w:val="000000"/>
                <w:kern w:val="0"/>
                <w:sz w:val="24"/>
              </w:rPr>
            </w:pP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27</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9</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9/27</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4/27</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4/9</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3 </w:t>
            </w:r>
          </w:p>
        </w:tc>
        <w:tc>
          <w:tcPr>
            <w:tcW w:w="1347" w:type="dxa"/>
          </w:tcPr>
          <w:p>
            <w:pPr>
              <w:jc w:val="center"/>
              <w:rPr>
                <w:rFonts w:ascii="Times New Roman Regular" w:hAnsi="Times New Roman Regular" w:eastAsia="Times New Roman Regular" w:cs="Times New Roman Regular"/>
                <w:color w:val="000000"/>
                <w:kern w:val="0"/>
                <w:sz w:val="24"/>
              </w:rPr>
            </w:pPr>
          </w:p>
        </w:tc>
      </w:tr>
      <w:tr>
        <w:trPr>
          <w:trHeight w:val="1775"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Van Biesen S, 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42 critically ill COVID-19 patients</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3-week time frame in April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Netherlands</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42</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9</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9/42</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2/42</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2/9</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5 </w:t>
            </w:r>
          </w:p>
        </w:tc>
        <w:tc>
          <w:tcPr>
            <w:tcW w:w="134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30-day from ICU admission</w:t>
            </w:r>
          </w:p>
        </w:tc>
      </w:tr>
      <w:tr>
        <w:trPr>
          <w:trHeight w:val="893"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Buehler PK,et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45 critically ill COVID-19 patients</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Prospective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April to June, 2020</w:t>
            </w: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Switzerland</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ARDS</w:t>
            </w: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45</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5/45</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3/45</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3/5</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5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ventilator-free on day 28</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55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 xml:space="preserve"> Charalampous T, et al. </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274 intubated patients across seven COVID-19 intensive care units</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Prospective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20 to  June 24,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UK</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225</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9</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9/225</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5 </w:t>
            </w:r>
          </w:p>
        </w:tc>
        <w:tc>
          <w:tcPr>
            <w:tcW w:w="134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r>
      <w:tr>
        <w:trPr>
          <w:trHeight w:val="1553" w:hRule="atLeast"/>
        </w:trPr>
        <w:tc>
          <w:tcPr>
            <w:tcW w:w="1524" w:type="dxa"/>
            <w:noWrap/>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Dupont D, et al.</w:t>
            </w:r>
          </w:p>
        </w:tc>
        <w:tc>
          <w:tcPr>
            <w:tcW w:w="1017"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153 consecutive adult intensive</w:t>
            </w:r>
            <w:r>
              <w:rPr>
                <w:rFonts w:ascii="Times New Roman Regular" w:hAnsi="Times New Roman Regular" w:eastAsia="Times New Roman Regular" w:cs="Times New Roman Regular"/>
                <w:color w:val="000000"/>
                <w:kern w:val="0"/>
                <w:sz w:val="24"/>
                <w:lang w:bidi="ar"/>
              </w:rPr>
              <w:br w:type="textWrapping"/>
            </w:r>
            <w:r>
              <w:rPr>
                <w:rFonts w:ascii="Times New Roman Regular" w:hAnsi="Times New Roman Regular" w:eastAsia="Times New Roman Regular" w:cs="Times New Roman Regular"/>
                <w:color w:val="000000"/>
                <w:kern w:val="0"/>
                <w:sz w:val="24"/>
                <w:lang w:bidi="ar"/>
              </w:rPr>
              <w:t>care unit (ICU) patients</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noWrap/>
          </w:tcPr>
          <w:p>
            <w:pPr>
              <w:jc w:val="left"/>
              <w:rPr>
                <w:rFonts w:ascii="Times New Roman Regular" w:hAnsi="Times New Roman Regular" w:eastAsia="Times New Roman Regular" w:cs="Times New Roman Regular"/>
                <w:color w:val="000000"/>
                <w:kern w:val="0"/>
                <w:sz w:val="24"/>
              </w:rPr>
            </w:pPr>
          </w:p>
        </w:tc>
        <w:tc>
          <w:tcPr>
            <w:tcW w:w="1007"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France</w:t>
            </w:r>
          </w:p>
        </w:tc>
        <w:tc>
          <w:tcPr>
            <w:tcW w:w="1063"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ARDS</w:t>
            </w:r>
          </w:p>
        </w:tc>
        <w:tc>
          <w:tcPr>
            <w:tcW w:w="1142"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106</w:t>
            </w:r>
          </w:p>
        </w:tc>
        <w:tc>
          <w:tcPr>
            <w:tcW w:w="699"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19</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19/106</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7/106</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7/19</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5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42-day from ICU admission</w:t>
            </w:r>
          </w:p>
        </w:tc>
      </w:tr>
      <w:tr>
        <w:trPr>
          <w:trHeight w:val="893" w:hRule="atLeast"/>
        </w:trPr>
        <w:tc>
          <w:tcPr>
            <w:tcW w:w="1524" w:type="dxa"/>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Helleberg M, et al</w:t>
            </w:r>
          </w:p>
        </w:tc>
        <w:tc>
          <w:tcPr>
            <w:tcW w:w="1017" w:type="dxa"/>
            <w:tcBorders>
              <w:top w:val="single" w:color="7E7E7E" w:themeColor="text1" w:themeTint="80" w:sz="4" w:space="0"/>
              <w:bottom w:val="single" w:color="7E7E7E" w:themeColor="text1" w:themeTint="80" w:sz="4" w:space="0"/>
              <w:insideH w:val="single" w:sz="4" w:space="0"/>
            </w:tcBorders>
            <w:noWrap/>
          </w:tcPr>
          <w:p>
            <w:pPr>
              <w:widowControl/>
              <w:jc w:val="righ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8 COVID-19 patients with ECMO</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15 to November 4, 2020</w:t>
            </w:r>
          </w:p>
        </w:tc>
        <w:tc>
          <w:tcPr>
            <w:tcW w:w="1007" w:type="dxa"/>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Denmark</w:t>
            </w:r>
          </w:p>
        </w:tc>
        <w:tc>
          <w:tcPr>
            <w:tcW w:w="1063" w:type="dxa"/>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ECMO</w:t>
            </w:r>
          </w:p>
        </w:tc>
        <w:tc>
          <w:tcPr>
            <w:tcW w:w="1142"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8</w:t>
            </w:r>
          </w:p>
        </w:tc>
        <w:tc>
          <w:tcPr>
            <w:tcW w:w="699"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2/8</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2/8</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2/2</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4 </w:t>
            </w:r>
          </w:p>
        </w:tc>
        <w:tc>
          <w:tcPr>
            <w:tcW w:w="1347" w:type="dxa"/>
            <w:tcBorders>
              <w:top w:val="single" w:color="7E7E7E" w:themeColor="text1" w:themeTint="80" w:sz="4" w:space="0"/>
              <w:bottom w:val="single" w:color="7E7E7E" w:themeColor="text1" w:themeTint="80" w:sz="4" w:space="0"/>
              <w:insideH w:val="single" w:sz="4" w:space="0"/>
            </w:tcBorders>
          </w:tcPr>
          <w:p>
            <w:pPr>
              <w:jc w:val="center"/>
              <w:rPr>
                <w:rFonts w:ascii="Times New Roman Regular" w:hAnsi="Times New Roman Regular" w:eastAsia="Times New Roman Regular" w:cs="Times New Roman Regular"/>
                <w:color w:val="000000"/>
                <w:kern w:val="0"/>
                <w:sz w:val="24"/>
              </w:rPr>
            </w:pPr>
          </w:p>
        </w:tc>
      </w:tr>
      <w:tr>
        <w:trPr>
          <w:trHeight w:val="1333"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Bartoletti M, 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108 COVID-19 patients</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Multi-center prospective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February 22 to April 20, 2020</w:t>
            </w: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Italy</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MV, ARDS </w:t>
            </w: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108</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30</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30/108</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13/108</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13/30</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7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median follow-up :31 (20-</w:t>
            </w:r>
            <w:r>
              <w:rPr>
                <w:rFonts w:ascii="Times New Roman Regular" w:hAnsi="Times New Roman Regular" w:eastAsia="Times New Roman Regular" w:cs="Times New Roman Regular"/>
                <w:color w:val="000000"/>
                <w:kern w:val="0"/>
                <w:sz w:val="24"/>
                <w:lang w:bidi="ar"/>
              </w:rPr>
              <w:br w:type="textWrapping"/>
            </w:r>
            <w:r>
              <w:rPr>
                <w:rFonts w:ascii="Times New Roman Regular" w:hAnsi="Times New Roman Regular" w:eastAsia="Times New Roman Regular" w:cs="Times New Roman Regular"/>
                <w:color w:val="000000"/>
                <w:kern w:val="0"/>
                <w:sz w:val="24"/>
                <w:lang w:bidi="ar"/>
              </w:rPr>
              <w:t>43) days from ICU admission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11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Borman AM, 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2021</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719 critically ill UK patients with COVID-19</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11 to July 14,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UK</w:t>
            </w:r>
          </w:p>
        </w:tc>
        <w:tc>
          <w:tcPr>
            <w:tcW w:w="1063" w:type="dxa"/>
            <w:tcBorders>
              <w:top w:val="single" w:color="7E7E7E" w:themeColor="text1" w:themeTint="80" w:sz="4" w:space="0"/>
              <w:bottom w:val="single" w:color="7E7E7E" w:themeColor="text1" w:themeTint="80" w:sz="4" w:space="0"/>
              <w:insideH w:val="single" w:sz="4" w:space="0"/>
            </w:tcBorders>
          </w:tcPr>
          <w:p>
            <w:pPr>
              <w:jc w:val="left"/>
              <w:rPr>
                <w:rFonts w:ascii="Times New Roman Regular" w:hAnsi="Times New Roman Regular" w:eastAsia="Times New Roman Regular" w:cs="Times New Roman Regular"/>
                <w:color w:val="000000"/>
                <w:kern w:val="0"/>
                <w:sz w:val="24"/>
              </w:rPr>
            </w:pP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61</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13/61</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3 </w:t>
            </w:r>
          </w:p>
        </w:tc>
        <w:tc>
          <w:tcPr>
            <w:tcW w:w="1347" w:type="dxa"/>
            <w:tcBorders>
              <w:top w:val="single" w:color="7E7E7E" w:themeColor="text1" w:themeTint="80" w:sz="4" w:space="0"/>
              <w:bottom w:val="single" w:color="7E7E7E" w:themeColor="text1" w:themeTint="80" w:sz="4" w:space="0"/>
              <w:insideH w:val="single" w:sz="4" w:space="0"/>
            </w:tcBorders>
          </w:tcPr>
          <w:p>
            <w:pPr>
              <w:jc w:val="center"/>
              <w:rPr>
                <w:rFonts w:ascii="Times New Roman Regular" w:hAnsi="Times New Roman Regular" w:eastAsia="Times New Roman Regular" w:cs="Times New Roman Regular"/>
                <w:color w:val="000000"/>
                <w:kern w:val="0"/>
                <w:sz w:val="24"/>
              </w:rPr>
            </w:pPr>
          </w:p>
        </w:tc>
      </w:tr>
      <w:tr>
        <w:trPr>
          <w:trHeight w:val="1553" w:hRule="atLeast"/>
        </w:trPr>
        <w:tc>
          <w:tcPr>
            <w:tcW w:w="1524" w:type="dxa"/>
            <w:noWrap/>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Chauvet P, et al.</w:t>
            </w:r>
          </w:p>
        </w:tc>
        <w:tc>
          <w:tcPr>
            <w:tcW w:w="1017"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46 COVID-19 patients with acute respiratory distress syndrome</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24 to May 25, 2020</w:t>
            </w:r>
          </w:p>
        </w:tc>
        <w:tc>
          <w:tcPr>
            <w:tcW w:w="1007"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France</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ARDS</w:t>
            </w:r>
          </w:p>
        </w:tc>
        <w:tc>
          <w:tcPr>
            <w:tcW w:w="1142"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46</w:t>
            </w:r>
          </w:p>
        </w:tc>
        <w:tc>
          <w:tcPr>
            <w:tcW w:w="699"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6/46</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4/46</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4/6</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5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60-day from ICU admission</w:t>
            </w:r>
          </w:p>
        </w:tc>
      </w:tr>
      <w:tr>
        <w:trPr>
          <w:trHeight w:val="133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Delliere S, 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righ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2021</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366 successive COVID-19 patients, hospitalized in four ICUs</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Multi-centric retrospective cohort</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15 to May 1,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France</w:t>
            </w:r>
          </w:p>
        </w:tc>
        <w:tc>
          <w:tcPr>
            <w:tcW w:w="1063" w:type="dxa"/>
            <w:tcBorders>
              <w:top w:val="single" w:color="7E7E7E" w:themeColor="text1" w:themeTint="80" w:sz="4" w:space="0"/>
              <w:bottom w:val="single" w:color="7E7E7E" w:themeColor="text1" w:themeTint="80" w:sz="4" w:space="0"/>
              <w:insideH w:val="single" w:sz="4" w:space="0"/>
            </w:tcBorders>
          </w:tcPr>
          <w:p>
            <w:pPr>
              <w:rPr>
                <w:rFonts w:ascii="Times New Roman Regular" w:hAnsi="Times New Roman Regular" w:eastAsia="Times New Roman Regular" w:cs="Times New Roman Regular"/>
                <w:color w:val="000000"/>
                <w:kern w:val="0"/>
                <w:sz w:val="24"/>
              </w:rPr>
            </w:pP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108</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21</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21/108</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15/108</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15/21</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6 </w:t>
            </w:r>
          </w:p>
        </w:tc>
        <w:tc>
          <w:tcPr>
            <w:tcW w:w="1347" w:type="dxa"/>
            <w:tcBorders>
              <w:top w:val="single" w:color="7E7E7E" w:themeColor="text1" w:themeTint="80" w:sz="4" w:space="0"/>
              <w:bottom w:val="single" w:color="7E7E7E" w:themeColor="text1" w:themeTint="80" w:sz="4" w:space="0"/>
              <w:insideH w:val="single" w:sz="4" w:space="0"/>
            </w:tcBorders>
          </w:tcPr>
          <w:p>
            <w:pPr>
              <w:jc w:val="center"/>
              <w:rPr>
                <w:rFonts w:ascii="Times New Roman Regular" w:hAnsi="Times New Roman Regular" w:eastAsia="Times New Roman Regular" w:cs="Times New Roman Regular"/>
                <w:color w:val="000000"/>
                <w:kern w:val="0"/>
                <w:sz w:val="24"/>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553"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Fekkar A, 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260 patients were admitted to the ICU for severe COVID-19</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6 to April 24, 2020</w:t>
            </w: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France</w:t>
            </w:r>
          </w:p>
        </w:tc>
        <w:tc>
          <w:tcPr>
            <w:tcW w:w="1063" w:type="dxa"/>
          </w:tcPr>
          <w:p>
            <w:pPr>
              <w:jc w:val="left"/>
              <w:rPr>
                <w:rFonts w:ascii="Times New Roman Regular" w:hAnsi="Times New Roman Regular" w:eastAsia="Times New Roman Regular" w:cs="Times New Roman Regular"/>
                <w:color w:val="000000"/>
                <w:kern w:val="0"/>
                <w:sz w:val="24"/>
              </w:rPr>
            </w:pP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145</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7/145</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4/145</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4/7</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7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30-day from ICU admission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89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Gangneux JP,et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45 COVID-19 patients</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Prospective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jc w:val="left"/>
              <w:rPr>
                <w:rFonts w:ascii="Times New Roman Regular" w:hAnsi="Times New Roman Regular" w:eastAsia="Times New Roman Regular" w:cs="Times New Roman Regular"/>
                <w:color w:val="000000"/>
                <w:kern w:val="0"/>
                <w:sz w:val="24"/>
              </w:rPr>
            </w:pP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France</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MV, ARDS </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45</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7/45</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2/45</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2/7</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6 </w:t>
            </w:r>
          </w:p>
        </w:tc>
        <w:tc>
          <w:tcPr>
            <w:tcW w:w="134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ventilator-free</w:t>
            </w:r>
            <w:r>
              <w:rPr>
                <w:rStyle w:val="8"/>
                <w:rFonts w:hint="default"/>
                <w:color w:val="000000"/>
                <w:kern w:val="0"/>
                <w:lang w:bidi="ar"/>
              </w:rPr>
              <w:t>，</w:t>
            </w:r>
            <w:r>
              <w:rPr>
                <w:rStyle w:val="9"/>
                <w:color w:val="000000"/>
                <w:kern w:val="0"/>
                <w:lang w:bidi="ar"/>
              </w:rPr>
              <w:t xml:space="preserve"> 28-day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893" w:hRule="atLeast"/>
        </w:trPr>
        <w:tc>
          <w:tcPr>
            <w:tcW w:w="1524" w:type="dxa"/>
            <w:noWrap/>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Gouzien L, et al.</w:t>
            </w:r>
          </w:p>
        </w:tc>
        <w:tc>
          <w:tcPr>
            <w:tcW w:w="1017" w:type="dxa"/>
            <w:noWrap/>
          </w:tcPr>
          <w:p>
            <w:pPr>
              <w:widowControl/>
              <w:jc w:val="righ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2021</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53 critical ill COVID-19 patients</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1 to April 30, 2020</w:t>
            </w:r>
          </w:p>
        </w:tc>
        <w:tc>
          <w:tcPr>
            <w:tcW w:w="1007"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France</w:t>
            </w:r>
          </w:p>
        </w:tc>
        <w:tc>
          <w:tcPr>
            <w:tcW w:w="1063"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MV </w:t>
            </w:r>
          </w:p>
        </w:tc>
        <w:tc>
          <w:tcPr>
            <w:tcW w:w="1142"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53</w:t>
            </w:r>
          </w:p>
        </w:tc>
        <w:tc>
          <w:tcPr>
            <w:tcW w:w="699"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1/53</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4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90-day from ICU admission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11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Van Grootveld R, 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63 COVID-19 patients admitted to the ICU </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Prospective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April 1 to May 11,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Netherlands</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63</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11</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11/63</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7/63</w:t>
            </w:r>
          </w:p>
        </w:tc>
        <w:tc>
          <w:tcPr>
            <w:tcW w:w="695"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lang w:bidi="ar"/>
              </w:rPr>
              <w:t>7/11</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5 </w:t>
            </w:r>
          </w:p>
        </w:tc>
        <w:tc>
          <w:tcPr>
            <w:tcW w:w="134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45-day from ICU admission</w:t>
            </w:r>
          </w:p>
        </w:tc>
      </w:tr>
      <w:tr>
        <w:trPr>
          <w:trHeight w:val="1913"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Koehler P,et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19 consecutive critically ill patients with moderate to severe ARDS</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to April, 2020</w:t>
            </w: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Germany</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ARDS</w:t>
            </w: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19</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5/19</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3/19</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3/5</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3 </w:t>
            </w:r>
          </w:p>
        </w:tc>
        <w:tc>
          <w:tcPr>
            <w:tcW w:w="1347" w:type="dxa"/>
          </w:tcPr>
          <w:p>
            <w:pPr>
              <w:jc w:val="center"/>
              <w:rPr>
                <w:rFonts w:ascii="Times New Roman Regular" w:hAnsi="Times New Roman Regular" w:eastAsia="Times New Roman Regular" w:cs="Times New Roman Regular"/>
                <w:color w:val="000000"/>
                <w:kern w:val="0"/>
                <w:sz w:val="24"/>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11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Lahmer T, 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32 adults Patients (≥18 years) with severe COVID-19</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Prospective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to April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Germany</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 ARF</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32</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11</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11/32</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4/32</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4/11</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7 </w:t>
            </w:r>
          </w:p>
        </w:tc>
        <w:tc>
          <w:tcPr>
            <w:tcW w:w="134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28-day from ICU admission</w:t>
            </w:r>
          </w:p>
        </w:tc>
      </w:tr>
      <w:tr>
        <w:trPr>
          <w:trHeight w:val="1113"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Lamoth F,et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118 patients admitted to ICUs with confirmed COVID-19</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Prospective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6 to May 11, 2020</w:t>
            </w: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Switzerland</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80</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3/80</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1/80</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3 </w:t>
            </w:r>
          </w:p>
        </w:tc>
        <w:tc>
          <w:tcPr>
            <w:tcW w:w="1347" w:type="dxa"/>
          </w:tcPr>
          <w:p>
            <w:pPr>
              <w:jc w:val="center"/>
              <w:rPr>
                <w:rFonts w:ascii="Times New Roman Regular" w:hAnsi="Times New Roman Regular" w:eastAsia="Times New Roman Regular" w:cs="Times New Roman Regular"/>
                <w:color w:val="000000"/>
                <w:kern w:val="0"/>
                <w:sz w:val="24"/>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306"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Maes M, 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81 COVID-19 and 144 non-COVID-19 patients</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15 to August 30,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UK</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23</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3/23</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6 </w:t>
            </w:r>
          </w:p>
        </w:tc>
        <w:tc>
          <w:tcPr>
            <w:tcW w:w="134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37-day from ICU admission</w:t>
            </w:r>
          </w:p>
        </w:tc>
      </w:tr>
      <w:tr>
        <w:trPr>
          <w:trHeight w:val="1992" w:hRule="atLeast"/>
        </w:trPr>
        <w:tc>
          <w:tcPr>
            <w:tcW w:w="1524" w:type="dxa"/>
            <w:noWrap/>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Meijer EF,et al.</w:t>
            </w:r>
          </w:p>
        </w:tc>
        <w:tc>
          <w:tcPr>
            <w:tcW w:w="1017" w:type="dxa"/>
            <w:noWrap/>
          </w:tcPr>
          <w:p>
            <w:pPr>
              <w:widowControl/>
              <w:jc w:val="righ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573 COVID-19 patients and 66 needed intubation </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Prospective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March-May 2020 and mid-September through mid-December 2020</w:t>
            </w:r>
          </w:p>
        </w:tc>
        <w:tc>
          <w:tcPr>
            <w:tcW w:w="1007"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Netherlands</w:t>
            </w:r>
          </w:p>
        </w:tc>
        <w:tc>
          <w:tcPr>
            <w:tcW w:w="1063"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66</w:t>
            </w:r>
          </w:p>
        </w:tc>
        <w:tc>
          <w:tcPr>
            <w:tcW w:w="699"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13/66</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6/66</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6/13</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4 </w:t>
            </w:r>
          </w:p>
        </w:tc>
        <w:tc>
          <w:tcPr>
            <w:tcW w:w="1347" w:type="dxa"/>
          </w:tcPr>
          <w:p>
            <w:pPr>
              <w:jc w:val="center"/>
              <w:rPr>
                <w:rFonts w:ascii="Times New Roman Regular" w:hAnsi="Times New Roman Regular" w:eastAsia="Times New Roman Regular" w:cs="Times New Roman Regular"/>
                <w:color w:val="000000"/>
                <w:kern w:val="0"/>
                <w:sz w:val="24"/>
              </w:rPr>
            </w:pPr>
          </w:p>
        </w:tc>
      </w:tr>
      <w:tr>
        <w:trPr>
          <w:trHeight w:val="1553" w:hRule="atLeast"/>
        </w:trPr>
        <w:tc>
          <w:tcPr>
            <w:tcW w:w="1524" w:type="dxa"/>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Mitaka H,et al.</w:t>
            </w:r>
          </w:p>
        </w:tc>
        <w:tc>
          <w:tcPr>
            <w:tcW w:w="1017" w:type="dxa"/>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 patients with COVID-19 underwent mechanically ventilated in the ICU</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21 to April 22,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USA</w:t>
            </w:r>
          </w:p>
        </w:tc>
        <w:tc>
          <w:tcPr>
            <w:tcW w:w="1063" w:type="dxa"/>
            <w:tcBorders>
              <w:top w:val="single" w:color="7E7E7E" w:themeColor="text1" w:themeTint="80" w:sz="4" w:space="0"/>
              <w:bottom w:val="single" w:color="7E7E7E" w:themeColor="text1" w:themeTint="80" w:sz="4" w:space="0"/>
              <w:insideH w:val="single" w:sz="4" w:space="0"/>
            </w:tcBorders>
            <w:noWrap/>
          </w:tcPr>
          <w:p>
            <w:pPr>
              <w:jc w:val="left"/>
              <w:rPr>
                <w:rFonts w:ascii="Times New Roman Regular" w:hAnsi="Times New Roman Regular" w:eastAsia="Times New Roman Regular" w:cs="Times New Roman Regular"/>
                <w:color w:val="000000"/>
                <w:kern w:val="0"/>
                <w:sz w:val="24"/>
              </w:rPr>
            </w:pPr>
          </w:p>
        </w:tc>
        <w:tc>
          <w:tcPr>
            <w:tcW w:w="1142"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w:t>
            </w:r>
          </w:p>
        </w:tc>
        <w:tc>
          <w:tcPr>
            <w:tcW w:w="699"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4/7</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4/7</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4/4</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3 </w:t>
            </w:r>
          </w:p>
        </w:tc>
        <w:tc>
          <w:tcPr>
            <w:tcW w:w="1347" w:type="dxa"/>
            <w:tcBorders>
              <w:top w:val="single" w:color="7E7E7E" w:themeColor="text1" w:themeTint="80" w:sz="4" w:space="0"/>
              <w:bottom w:val="single" w:color="7E7E7E" w:themeColor="text1" w:themeTint="80" w:sz="4" w:space="0"/>
              <w:insideH w:val="single" w:sz="4" w:space="0"/>
            </w:tcBorders>
          </w:tcPr>
          <w:p>
            <w:pPr>
              <w:jc w:val="center"/>
              <w:rPr>
                <w:rFonts w:ascii="Times New Roman Regular" w:hAnsi="Times New Roman Regular" w:eastAsia="Times New Roman Regular" w:cs="Times New Roman Regular"/>
                <w:color w:val="000000"/>
                <w:kern w:val="0"/>
                <w:sz w:val="24"/>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2212"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Nasir N, 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147 patients with confirmed COVID-19 and 23 (15.6%) patients requiring ICU </w:t>
            </w:r>
            <w:r>
              <w:rPr>
                <w:rFonts w:ascii="Times New Roman Regular" w:hAnsi="Times New Roman Regular" w:eastAsia="Times New Roman Regular" w:cs="Times New Roman Regular"/>
                <w:color w:val="000000"/>
                <w:kern w:val="0"/>
                <w:sz w:val="24"/>
                <w:lang w:bidi="ar"/>
              </w:rPr>
              <w:br w:type="textWrapping"/>
            </w:r>
            <w:r>
              <w:rPr>
                <w:rFonts w:ascii="Times New Roman Regular" w:hAnsi="Times New Roman Regular" w:eastAsia="Times New Roman Regular" w:cs="Times New Roman Regular"/>
                <w:color w:val="000000"/>
                <w:kern w:val="0"/>
                <w:sz w:val="24"/>
                <w:lang w:bidi="ar"/>
              </w:rPr>
              <w:t>admission</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Feruary to April, 2020</w:t>
            </w: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Pakistan</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ARDS</w:t>
            </w: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23</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5/23</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3/23</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3/5</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6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35-day from ICU admission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11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Nebreda-Mayoral T, 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113 COVID-19 patients and 50 patients in ICU</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March1to May31,2020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Spain</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50</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3/50</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1/50</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4 </w:t>
            </w:r>
          </w:p>
        </w:tc>
        <w:tc>
          <w:tcPr>
            <w:tcW w:w="1347" w:type="dxa"/>
            <w:tcBorders>
              <w:top w:val="single" w:color="7E7E7E" w:themeColor="text1" w:themeTint="80" w:sz="4" w:space="0"/>
              <w:bottom w:val="single" w:color="7E7E7E" w:themeColor="text1" w:themeTint="80" w:sz="4" w:space="0"/>
              <w:insideH w:val="single" w:sz="4" w:space="0"/>
            </w:tcBorders>
          </w:tcPr>
          <w:p>
            <w:pPr>
              <w:jc w:val="center"/>
              <w:rPr>
                <w:rFonts w:ascii="Times New Roman Regular" w:hAnsi="Times New Roman Regular" w:eastAsia="Times New Roman Regular" w:cs="Times New Roman Regular"/>
                <w:color w:val="000000"/>
                <w:kern w:val="0"/>
                <w:sz w:val="24"/>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2432"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RazaziK, 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172 patients,90 COVID-19-related acute respiratory distress syndrome and 82 non-SARS-CoV-2 viral ARDS</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October 1 2009 to April 29, 2020</w:t>
            </w: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France</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MV;ARDS </w:t>
            </w: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90</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7/90</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7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Minimal follow-up period of 28-day from ICU admission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89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Roman-Montes CM,et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144 COVID-19 critical ill patients</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April 13 to June 1,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Mexico</w:t>
            </w:r>
          </w:p>
        </w:tc>
        <w:tc>
          <w:tcPr>
            <w:tcW w:w="1063"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144</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14</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14/144</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8/144</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8/14</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6 </w:t>
            </w:r>
          </w:p>
        </w:tc>
        <w:tc>
          <w:tcPr>
            <w:tcW w:w="134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28-day from ICU admission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893"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Rutsaert L, 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34 critically ill COVID-19 patients</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March 12 to April 25, 2020</w:t>
            </w: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Belgium</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7/20</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4/20</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4/7</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3 </w:t>
            </w:r>
          </w:p>
        </w:tc>
        <w:tc>
          <w:tcPr>
            <w:tcW w:w="1347" w:type="dxa"/>
          </w:tcPr>
          <w:p>
            <w:pPr>
              <w:jc w:val="center"/>
              <w:rPr>
                <w:rFonts w:ascii="Times New Roman Regular" w:hAnsi="Times New Roman Regular" w:eastAsia="Times New Roman Regular" w:cs="Times New Roman Regular"/>
                <w:color w:val="000000"/>
                <w:kern w:val="0"/>
                <w:sz w:val="24"/>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33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Segrelles-Calvo G,et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 xml:space="preserve"> 215 adult patients respectively admitted to ICU with COVID-19</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Prospective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February 1 to April 30,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Spain</w:t>
            </w:r>
          </w:p>
        </w:tc>
        <w:tc>
          <w:tcPr>
            <w:tcW w:w="1063" w:type="dxa"/>
            <w:tcBorders>
              <w:top w:val="single" w:color="7E7E7E" w:themeColor="text1" w:themeTint="80" w:sz="4" w:space="0"/>
              <w:bottom w:val="single" w:color="7E7E7E" w:themeColor="text1" w:themeTint="80" w:sz="4" w:space="0"/>
              <w:insideH w:val="single" w:sz="4" w:space="0"/>
            </w:tcBorders>
            <w:noWrap/>
          </w:tcPr>
          <w:p>
            <w:pPr>
              <w:rPr>
                <w:rFonts w:ascii="Times New Roman Regular" w:hAnsi="Times New Roman Regular" w:eastAsia="Times New Roman Regular" w:cs="Times New Roman Regular"/>
                <w:color w:val="000000"/>
                <w:kern w:val="0"/>
                <w:sz w:val="24"/>
              </w:rPr>
            </w:pP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215</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7/215</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5/215</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5/7</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5 </w:t>
            </w:r>
          </w:p>
        </w:tc>
        <w:tc>
          <w:tcPr>
            <w:tcW w:w="1347" w:type="dxa"/>
            <w:tcBorders>
              <w:top w:val="single" w:color="7E7E7E" w:themeColor="text1" w:themeTint="80" w:sz="4" w:space="0"/>
              <w:bottom w:val="single" w:color="7E7E7E" w:themeColor="text1" w:themeTint="80" w:sz="4" w:space="0"/>
              <w:insideH w:val="single" w:sz="4" w:space="0"/>
            </w:tcBorders>
          </w:tcPr>
          <w:p>
            <w:pPr>
              <w:jc w:val="center"/>
              <w:rPr>
                <w:rFonts w:ascii="Times New Roman Regular" w:hAnsi="Times New Roman Regular" w:eastAsia="Times New Roman Regular" w:cs="Times New Roman Regular"/>
                <w:color w:val="000000"/>
                <w:kern w:val="0"/>
                <w:sz w:val="24"/>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113" w:hRule="atLeast"/>
        </w:trPr>
        <w:tc>
          <w:tcPr>
            <w:tcW w:w="1524" w:type="dxa"/>
            <w:noWrap/>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van Arkel ALE, et al.</w:t>
            </w:r>
          </w:p>
        </w:tc>
        <w:tc>
          <w:tcPr>
            <w:tcW w:w="1017" w:type="dxa"/>
            <w:noWrap/>
          </w:tcPr>
          <w:p>
            <w:pPr>
              <w:widowControl/>
              <w:jc w:val="righ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31 patients admitted to ICUs with confirmed COVID-19</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noWrap/>
          </w:tcPr>
          <w:p>
            <w:pPr>
              <w:rPr>
                <w:rFonts w:ascii="Times New Roman Regular" w:hAnsi="Times New Roman Regular" w:eastAsia="Times New Roman Regular" w:cs="Times New Roman Regular"/>
                <w:color w:val="000000"/>
                <w:kern w:val="0"/>
                <w:sz w:val="24"/>
              </w:rPr>
            </w:pPr>
          </w:p>
        </w:tc>
        <w:tc>
          <w:tcPr>
            <w:tcW w:w="1007"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Netherlands</w:t>
            </w:r>
          </w:p>
        </w:tc>
        <w:tc>
          <w:tcPr>
            <w:tcW w:w="1063" w:type="dxa"/>
            <w:noWrap/>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31</w:t>
            </w:r>
          </w:p>
        </w:tc>
        <w:tc>
          <w:tcPr>
            <w:tcW w:w="699" w:type="dxa"/>
            <w:noWrap/>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6/31</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4/21</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4/6</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4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42-day from ICU admission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893" w:hRule="atLeast"/>
        </w:trPr>
        <w:tc>
          <w:tcPr>
            <w:tcW w:w="15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Wang J,et al</w:t>
            </w:r>
          </w:p>
        </w:tc>
        <w:tc>
          <w:tcPr>
            <w:tcW w:w="101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104 patients with COVID-19</w:t>
            </w:r>
          </w:p>
        </w:tc>
        <w:tc>
          <w:tcPr>
            <w:tcW w:w="1124"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Retrospective cohort study</w:t>
            </w:r>
          </w:p>
        </w:tc>
        <w:tc>
          <w:tcPr>
            <w:tcW w:w="1241"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January to March , 2020</w:t>
            </w:r>
          </w:p>
        </w:tc>
        <w:tc>
          <w:tcPr>
            <w:tcW w:w="100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China</w:t>
            </w:r>
          </w:p>
        </w:tc>
        <w:tc>
          <w:tcPr>
            <w:tcW w:w="1063" w:type="dxa"/>
            <w:tcBorders>
              <w:top w:val="single" w:color="7E7E7E" w:themeColor="text1" w:themeTint="80" w:sz="4" w:space="0"/>
              <w:bottom w:val="single" w:color="7E7E7E" w:themeColor="text1" w:themeTint="80" w:sz="4" w:space="0"/>
              <w:insideH w:val="single" w:sz="4" w:space="0"/>
            </w:tcBorders>
          </w:tcPr>
          <w:p>
            <w:pPr>
              <w:jc w:val="left"/>
              <w:rPr>
                <w:rFonts w:ascii="Times New Roman Regular" w:hAnsi="Times New Roman Regular" w:eastAsia="Times New Roman Regular" w:cs="Times New Roman Regular"/>
                <w:color w:val="000000"/>
                <w:kern w:val="0"/>
                <w:sz w:val="24"/>
              </w:rPr>
            </w:pPr>
          </w:p>
        </w:tc>
        <w:tc>
          <w:tcPr>
            <w:tcW w:w="11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78</w:t>
            </w:r>
          </w:p>
        </w:tc>
        <w:tc>
          <w:tcPr>
            <w:tcW w:w="699"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8</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8/78</w:t>
            </w:r>
          </w:p>
        </w:tc>
        <w:tc>
          <w:tcPr>
            <w:tcW w:w="880"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69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NR</w:t>
            </w:r>
          </w:p>
        </w:tc>
        <w:tc>
          <w:tcPr>
            <w:tcW w:w="97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4 </w:t>
            </w:r>
          </w:p>
        </w:tc>
        <w:tc>
          <w:tcPr>
            <w:tcW w:w="1347" w:type="dxa"/>
            <w:tcBorders>
              <w:top w:val="single" w:color="7E7E7E" w:themeColor="text1" w:themeTint="80" w:sz="4" w:space="0"/>
              <w:bottom w:val="single" w:color="7E7E7E" w:themeColor="text1" w:themeTint="80" w:sz="4" w:space="0"/>
              <w:insideH w:val="single" w:sz="4" w:space="0"/>
            </w:tcBorders>
          </w:tcPr>
          <w:p>
            <w:pPr>
              <w:jc w:val="center"/>
              <w:rPr>
                <w:rFonts w:ascii="Times New Roman Regular" w:hAnsi="Times New Roman Regular" w:eastAsia="Times New Roman Regular" w:cs="Times New Roman Regular"/>
                <w:color w:val="000000"/>
                <w:kern w:val="0"/>
                <w:sz w:val="24"/>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127" w:hRule="atLeast"/>
        </w:trPr>
        <w:tc>
          <w:tcPr>
            <w:tcW w:w="1524" w:type="dxa"/>
          </w:tcPr>
          <w:p>
            <w:pPr>
              <w:widowControl/>
              <w:jc w:val="left"/>
              <w:textAlignment w:val="center"/>
              <w:rPr>
                <w:rFonts w:ascii="Times New Roman Regular" w:hAnsi="Times New Roman Regular" w:eastAsia="Times New Roman Regular" w:cs="Times New Roman Regular"/>
                <w:b/>
                <w:bCs/>
                <w:color w:val="000000"/>
                <w:kern w:val="0"/>
                <w:sz w:val="24"/>
              </w:rPr>
            </w:pPr>
            <w:r>
              <w:rPr>
                <w:rFonts w:ascii="Times New Roman Regular" w:hAnsi="Times New Roman Regular" w:eastAsia="Times New Roman Regular" w:cs="Times New Roman Regular"/>
                <w:b/>
                <w:bCs/>
                <w:color w:val="000000"/>
                <w:kern w:val="0"/>
                <w:sz w:val="24"/>
                <w:lang w:bidi="ar"/>
              </w:rPr>
              <w:t>White PL, et al.</w:t>
            </w:r>
          </w:p>
        </w:tc>
        <w:tc>
          <w:tcPr>
            <w:tcW w:w="101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2020</w:t>
            </w:r>
          </w:p>
        </w:tc>
        <w:tc>
          <w:tcPr>
            <w:tcW w:w="1485"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135 COVID-19 patients</w:t>
            </w:r>
          </w:p>
        </w:tc>
        <w:tc>
          <w:tcPr>
            <w:tcW w:w="1124"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National, multi-centre, prospective cohort</w:t>
            </w:r>
          </w:p>
        </w:tc>
        <w:tc>
          <w:tcPr>
            <w:tcW w:w="1241" w:type="dxa"/>
          </w:tcPr>
          <w:p>
            <w:pPr>
              <w:jc w:val="left"/>
              <w:rPr>
                <w:rFonts w:ascii="Times New Roman Regular" w:hAnsi="Times New Roman Regular" w:eastAsia="Times New Roman Regular" w:cs="Times New Roman Regular"/>
                <w:color w:val="000000"/>
                <w:kern w:val="0"/>
                <w:sz w:val="24"/>
              </w:rPr>
            </w:pPr>
          </w:p>
        </w:tc>
        <w:tc>
          <w:tcPr>
            <w:tcW w:w="1007"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UK</w:t>
            </w:r>
          </w:p>
        </w:tc>
        <w:tc>
          <w:tcPr>
            <w:tcW w:w="1063" w:type="dxa"/>
          </w:tcPr>
          <w:p>
            <w:pPr>
              <w:widowControl/>
              <w:jc w:val="left"/>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MV</w:t>
            </w:r>
          </w:p>
        </w:tc>
        <w:tc>
          <w:tcPr>
            <w:tcW w:w="1142"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135</w:t>
            </w:r>
          </w:p>
        </w:tc>
        <w:tc>
          <w:tcPr>
            <w:tcW w:w="699"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19</w:t>
            </w:r>
          </w:p>
        </w:tc>
        <w:tc>
          <w:tcPr>
            <w:tcW w:w="978"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19/135</w:t>
            </w:r>
          </w:p>
        </w:tc>
        <w:tc>
          <w:tcPr>
            <w:tcW w:w="880"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11/135</w:t>
            </w:r>
          </w:p>
        </w:tc>
        <w:tc>
          <w:tcPr>
            <w:tcW w:w="695"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11/19</w:t>
            </w:r>
          </w:p>
        </w:tc>
        <w:tc>
          <w:tcPr>
            <w:tcW w:w="978"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 xml:space="preserve">6 </w:t>
            </w:r>
          </w:p>
        </w:tc>
        <w:tc>
          <w:tcPr>
            <w:tcW w:w="1347" w:type="dxa"/>
          </w:tcPr>
          <w:p>
            <w:pPr>
              <w:widowControl/>
              <w:jc w:val="center"/>
              <w:textAlignment w:val="center"/>
              <w:rPr>
                <w:rFonts w:ascii="Times New Roman Regular" w:hAnsi="Times New Roman Regular" w:eastAsia="Times New Roman Regular" w:cs="Times New Roman Regular"/>
                <w:color w:val="000000"/>
                <w:kern w:val="0"/>
                <w:sz w:val="24"/>
              </w:rPr>
            </w:pPr>
            <w:r>
              <w:rPr>
                <w:rFonts w:ascii="Times New Roman Regular" w:hAnsi="Times New Roman Regular" w:eastAsia="Times New Roman Regular" w:cs="Times New Roman Regular"/>
                <w:color w:val="000000"/>
                <w:kern w:val="0"/>
                <w:sz w:val="24"/>
                <w:lang w:bidi="ar"/>
              </w:rPr>
              <w:t>30-day from ICU admission</w:t>
            </w:r>
          </w:p>
        </w:tc>
      </w:tr>
    </w:tbl>
    <w:p/>
    <w:p>
      <w:pPr>
        <w:rPr>
          <w:rFonts w:ascii="Times New Roman Regular" w:hAnsi="Times New Roman Regular" w:eastAsia="Times New Roman Regular" w:cs="Times New Roman Regular"/>
          <w:kern w:val="0"/>
          <w:sz w:val="24"/>
          <w:lang w:bidi="ar"/>
        </w:rPr>
      </w:pPr>
      <w:r>
        <w:rPr>
          <w:rFonts w:hint="eastAsia" w:ascii="Times New Roman Regular" w:hAnsi="Times New Roman Regular" w:eastAsia="Times New Roman Regular" w:cs="Times New Roman Regular"/>
          <w:kern w:val="0"/>
          <w:sz w:val="24"/>
          <w:lang w:bidi="ar"/>
        </w:rPr>
        <w:t xml:space="preserve">Abbreviation: CAPA, COVID-19-associated pulmonary aspergillosis; CFR, </w:t>
      </w:r>
      <w:r>
        <w:rPr>
          <w:rFonts w:ascii="Times New Roman Regular" w:hAnsi="Times New Roman Regular" w:eastAsia="Times New Roman Regular" w:cs="Times New Roman Regular"/>
          <w:kern w:val="0"/>
          <w:sz w:val="24"/>
          <w:lang w:bidi="ar"/>
        </w:rPr>
        <w:t>Case fatality rate</w:t>
      </w:r>
      <w:r>
        <w:rPr>
          <w:rFonts w:hint="eastAsia" w:ascii="Times New Roman Regular" w:hAnsi="Times New Roman Regular" w:eastAsia="Times New Roman Regular" w:cs="Times New Roman Regular"/>
          <w:kern w:val="0"/>
          <w:sz w:val="24"/>
          <w:lang w:bidi="ar"/>
        </w:rPr>
        <w:t>; MV, mechanical ventilation; ARDS, acute respiratory distress syndrome; ARF, acute respiratory failure;</w:t>
      </w:r>
    </w:p>
    <w:p>
      <w:pPr>
        <w:widowControl/>
        <w:jc w:val="left"/>
        <w:rPr>
          <w:rFonts w:ascii="Times New Roman Regular" w:hAnsi="Times New Roman Regular" w:eastAsia="Times New Roman Regular" w:cs="Times New Roman Regular"/>
          <w:kern w:val="0"/>
          <w:sz w:val="24"/>
          <w:lang w:bidi="ar"/>
        </w:rPr>
      </w:pPr>
      <w:r>
        <w:rPr>
          <w:rFonts w:ascii="Times New Roman Regular" w:hAnsi="Times New Roman Regular" w:eastAsia="Times New Roman Regular" w:cs="Times New Roman Regular"/>
          <w:kern w:val="0"/>
          <w:sz w:val="24"/>
          <w:lang w:bidi="ar"/>
        </w:rPr>
        <w:br w:type="page"/>
      </w:r>
    </w:p>
    <w:p/>
    <w:p/>
    <w:tbl>
      <w:tblPr>
        <w:tblStyle w:val="10"/>
        <w:tblW w:w="14616" w:type="dxa"/>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9"/>
        <w:gridCol w:w="1351"/>
        <w:gridCol w:w="1162"/>
        <w:gridCol w:w="1242"/>
        <w:gridCol w:w="1388"/>
        <w:gridCol w:w="1398"/>
        <w:gridCol w:w="1421"/>
        <w:gridCol w:w="1674"/>
        <w:gridCol w:w="1037"/>
        <w:gridCol w:w="1158"/>
        <w:gridCol w:w="1286"/>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474" w:hRule="atLeast"/>
        </w:trPr>
        <w:tc>
          <w:tcPr>
            <w:tcW w:w="14616" w:type="dxa"/>
            <w:gridSpan w:val="11"/>
            <w:tcBorders>
              <w:bottom w:val="single" w:color="7E7E7E" w:themeColor="text1" w:themeTint="80" w:sz="4" w:space="0"/>
              <w:insideH w:val="single" w:sz="4" w:space="0"/>
            </w:tcBorders>
            <w:noWrap/>
          </w:tcPr>
          <w:p>
            <w:pPr>
              <w:jc w:val="center"/>
              <w:rPr>
                <w:rFonts w:eastAsia="宋体" w:cs="Times New Roman"/>
                <w:b/>
                <w:bCs/>
                <w:color w:val="FFFFFF"/>
                <w:kern w:val="0"/>
                <w:sz w:val="20"/>
                <w:szCs w:val="21"/>
              </w:rPr>
            </w:pPr>
            <w:r>
              <w:rPr>
                <w:rFonts w:eastAsia="宋体" w:cs="Times New Roman"/>
                <w:b/>
                <w:bCs/>
                <w:kern w:val="0"/>
                <w:sz w:val="20"/>
                <w:szCs w:val="21"/>
              </w:rPr>
              <w:t xml:space="preserve">Supplementary </w:t>
            </w:r>
            <w:r>
              <w:rPr>
                <w:rFonts w:eastAsia="宋体" w:cs="Times New Roman"/>
                <w:b/>
                <w:bCs w:val="0"/>
                <w:kern w:val="0"/>
                <w:sz w:val="20"/>
                <w:szCs w:val="21"/>
              </w:rPr>
              <w:t>2</w:t>
            </w:r>
            <w:r>
              <w:rPr>
                <w:rFonts w:eastAsia="宋体" w:cs="Times New Roman"/>
                <w:b/>
                <w:bCs/>
                <w:kern w:val="0"/>
                <w:sz w:val="20"/>
                <w:szCs w:val="21"/>
              </w:rPr>
              <w:t xml:space="preserve"> </w:t>
            </w:r>
            <w:r>
              <w:rPr>
                <w:rFonts w:hint="eastAsia" w:eastAsia="宋体" w:cs="Times New Roman"/>
                <w:b/>
                <w:bCs/>
                <w:kern w:val="0"/>
                <w:sz w:val="24"/>
              </w:rPr>
              <w:t>Q</w:t>
            </w:r>
            <w:r>
              <w:rPr>
                <w:rFonts w:cs="Times New Roman"/>
                <w:b/>
                <w:bCs/>
                <w:kern w:val="0"/>
                <w:sz w:val="24"/>
              </w:rPr>
              <w:t>uality of all included studies using the Newcastle–Ottawa Scale (NOS)</w:t>
            </w:r>
          </w:p>
        </w:tc>
      </w:tr>
      <w:tr>
        <w:trPr>
          <w:trHeight w:val="90" w:hRule="atLeast"/>
        </w:trPr>
        <w:tc>
          <w:tcPr>
            <w:tcW w:w="1499" w:type="dxa"/>
            <w:vMerge w:val="restart"/>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eastAsia="宋体" w:cs="Times New Roman"/>
                <w:b w:val="0"/>
                <w:bCs w:val="0"/>
                <w:color w:val="000000"/>
                <w:kern w:val="0"/>
                <w:sz w:val="20"/>
                <w:szCs w:val="21"/>
              </w:rPr>
            </w:pPr>
            <w:r>
              <w:rPr>
                <w:rFonts w:eastAsia="宋体" w:cs="Times New Roman"/>
                <w:b/>
                <w:bCs/>
                <w:color w:val="000000"/>
                <w:kern w:val="0"/>
                <w:sz w:val="20"/>
                <w:szCs w:val="21"/>
                <w:lang w:bidi="ar"/>
              </w:rPr>
              <w:t>Study</w:t>
            </w:r>
          </w:p>
        </w:tc>
        <w:tc>
          <w:tcPr>
            <w:tcW w:w="1351" w:type="dxa"/>
            <w:vMerge w:val="restart"/>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Publication Year</w:t>
            </w:r>
          </w:p>
        </w:tc>
        <w:tc>
          <w:tcPr>
            <w:tcW w:w="1162" w:type="dxa"/>
            <w:vMerge w:val="restart"/>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 xml:space="preserve">NOS </w:t>
            </w:r>
            <w:r>
              <w:rPr>
                <w:rFonts w:hint="eastAsia" w:eastAsia="宋体" w:cs="Times New Roman"/>
                <w:b/>
                <w:bCs/>
                <w:color w:val="000000"/>
                <w:kern w:val="0"/>
                <w:sz w:val="20"/>
                <w:szCs w:val="21"/>
                <w:lang w:bidi="ar"/>
              </w:rPr>
              <w:t>S</w:t>
            </w:r>
            <w:r>
              <w:rPr>
                <w:rFonts w:eastAsia="宋体" w:cs="Times New Roman"/>
                <w:b/>
                <w:bCs/>
                <w:color w:val="000000"/>
                <w:kern w:val="0"/>
                <w:sz w:val="20"/>
                <w:szCs w:val="21"/>
                <w:lang w:bidi="ar"/>
              </w:rPr>
              <w:t>core</w:t>
            </w:r>
          </w:p>
        </w:tc>
        <w:tc>
          <w:tcPr>
            <w:tcW w:w="5449" w:type="dxa"/>
            <w:gridSpan w:val="4"/>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bCs/>
                <w:i/>
                <w:iCs/>
                <w:color w:val="000000"/>
                <w:kern w:val="0"/>
                <w:sz w:val="20"/>
                <w:szCs w:val="21"/>
              </w:rPr>
            </w:pPr>
            <w:r>
              <w:rPr>
                <w:rFonts w:eastAsia="宋体" w:cs="Times New Roman"/>
                <w:b/>
                <w:bCs/>
                <w:i/>
                <w:iCs/>
                <w:color w:val="000000"/>
                <w:kern w:val="0"/>
                <w:sz w:val="20"/>
                <w:szCs w:val="21"/>
                <w:lang w:bidi="ar"/>
              </w:rPr>
              <w:t>SELECTION</w:t>
            </w:r>
          </w:p>
        </w:tc>
        <w:tc>
          <w:tcPr>
            <w:tcW w:w="1674"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COMPARABILITY</w:t>
            </w:r>
          </w:p>
        </w:tc>
        <w:tc>
          <w:tcPr>
            <w:tcW w:w="3481" w:type="dxa"/>
            <w:gridSpan w:val="3"/>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bCs/>
                <w:i/>
                <w:iCs/>
                <w:color w:val="000000"/>
                <w:kern w:val="0"/>
                <w:sz w:val="20"/>
                <w:szCs w:val="21"/>
              </w:rPr>
            </w:pPr>
            <w:r>
              <w:rPr>
                <w:rFonts w:eastAsia="宋体" w:cs="Times New Roman"/>
                <w:b/>
                <w:bCs/>
                <w:i/>
                <w:iCs/>
                <w:color w:val="000000"/>
                <w:kern w:val="0"/>
                <w:sz w:val="20"/>
                <w:szCs w:val="21"/>
                <w:lang w:bidi="ar"/>
              </w:rPr>
              <w:t>OUTCOME</w:t>
            </w:r>
          </w:p>
        </w:tc>
      </w:tr>
      <w:tr>
        <w:trPr>
          <w:trHeight w:val="221" w:hRule="atLeast"/>
        </w:trPr>
        <w:tc>
          <w:tcPr>
            <w:tcW w:w="1499" w:type="dxa"/>
            <w:vMerge w:val="continue"/>
          </w:tcPr>
          <w:p>
            <w:pPr>
              <w:widowControl/>
              <w:jc w:val="left"/>
              <w:textAlignment w:val="center"/>
              <w:rPr>
                <w:rFonts w:eastAsia="宋体" w:cs="Times New Roman"/>
                <w:b w:val="0"/>
                <w:bCs w:val="0"/>
                <w:color w:val="000000"/>
                <w:kern w:val="0"/>
                <w:sz w:val="20"/>
                <w:szCs w:val="21"/>
              </w:rPr>
            </w:pPr>
          </w:p>
        </w:tc>
        <w:tc>
          <w:tcPr>
            <w:tcW w:w="1351" w:type="dxa"/>
            <w:vMerge w:val="continue"/>
          </w:tcPr>
          <w:p>
            <w:pPr>
              <w:widowControl/>
              <w:jc w:val="left"/>
              <w:textAlignment w:val="center"/>
              <w:rPr>
                <w:rFonts w:eastAsia="宋体" w:cs="Times New Roman"/>
                <w:b/>
                <w:bCs/>
                <w:color w:val="000000"/>
                <w:kern w:val="0"/>
                <w:sz w:val="20"/>
                <w:szCs w:val="21"/>
              </w:rPr>
            </w:pPr>
          </w:p>
        </w:tc>
        <w:tc>
          <w:tcPr>
            <w:tcW w:w="1162" w:type="dxa"/>
            <w:vMerge w:val="continue"/>
          </w:tcPr>
          <w:p>
            <w:pPr>
              <w:widowControl/>
              <w:jc w:val="center"/>
              <w:textAlignment w:val="center"/>
              <w:rPr>
                <w:rFonts w:eastAsia="宋体" w:cs="Times New Roman"/>
                <w:b/>
                <w:bCs/>
                <w:color w:val="000000"/>
                <w:kern w:val="0"/>
                <w:sz w:val="20"/>
                <w:szCs w:val="21"/>
              </w:rPr>
            </w:pPr>
          </w:p>
        </w:tc>
        <w:tc>
          <w:tcPr>
            <w:tcW w:w="1242" w:type="dxa"/>
          </w:tcPr>
          <w:p>
            <w:pPr>
              <w:widowControl/>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Representativeness of the Exposed Cohort</w:t>
            </w:r>
          </w:p>
        </w:tc>
        <w:tc>
          <w:tcPr>
            <w:tcW w:w="1388" w:type="dxa"/>
          </w:tcPr>
          <w:p>
            <w:pPr>
              <w:widowControl/>
              <w:jc w:val="center"/>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Selection of the Non-Exposed Cohort</w:t>
            </w:r>
          </w:p>
        </w:tc>
        <w:tc>
          <w:tcPr>
            <w:tcW w:w="1398" w:type="dxa"/>
          </w:tcPr>
          <w:p>
            <w:pPr>
              <w:widowControl/>
              <w:jc w:val="center"/>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Ascertainment of Exposure</w:t>
            </w:r>
          </w:p>
        </w:tc>
        <w:tc>
          <w:tcPr>
            <w:tcW w:w="1421"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Outcome of Interest Was Not Present at Start of Study</w:t>
            </w:r>
          </w:p>
        </w:tc>
        <w:tc>
          <w:tcPr>
            <w:tcW w:w="1674"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Comparability of Cohorts</w:t>
            </w:r>
          </w:p>
        </w:tc>
        <w:tc>
          <w:tcPr>
            <w:tcW w:w="1037" w:type="dxa"/>
          </w:tcPr>
          <w:p>
            <w:pPr>
              <w:widowControl/>
              <w:jc w:val="center"/>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Assessment of Outcome</w:t>
            </w:r>
          </w:p>
        </w:tc>
        <w:tc>
          <w:tcPr>
            <w:tcW w:w="1158" w:type="dxa"/>
          </w:tcPr>
          <w:p>
            <w:pPr>
              <w:widowControl/>
              <w:jc w:val="center"/>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 xml:space="preserve">Follow-Up Long Enough </w:t>
            </w:r>
          </w:p>
        </w:tc>
        <w:tc>
          <w:tcPr>
            <w:tcW w:w="1286"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 xml:space="preserve">Adequacy of Follow Up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11"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 xml:space="preserve">Charalampous T, et al. </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Borman AM, 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2021</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p>
        </w:tc>
        <w:tc>
          <w:tcPr>
            <w:tcW w:w="1286" w:type="dxa"/>
            <w:noWrap/>
          </w:tcPr>
          <w:p>
            <w:pPr>
              <w:widowControl/>
              <w:jc w:val="center"/>
              <w:textAlignment w:val="center"/>
              <w:rPr>
                <w:rFonts w:eastAsia="宋体" w:cs="Times New Roman"/>
                <w:color w:val="000000"/>
                <w:kern w:val="0"/>
                <w:sz w:val="20"/>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Rutsaert L, 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Koehler P,et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p>
        </w:tc>
        <w:tc>
          <w:tcPr>
            <w:tcW w:w="1286" w:type="dxa"/>
            <w:noWrap/>
          </w:tcPr>
          <w:p>
            <w:pPr>
              <w:widowControl/>
              <w:jc w:val="center"/>
              <w:textAlignment w:val="center"/>
              <w:rPr>
                <w:rFonts w:eastAsia="宋体" w:cs="Times New Roman"/>
                <w:color w:val="000000"/>
                <w:kern w:val="0"/>
                <w:sz w:val="20"/>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Nasir N, 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Van Biesen S, 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Bartoletti M, 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Lamoth F,et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p>
        </w:tc>
        <w:tc>
          <w:tcPr>
            <w:tcW w:w="1286" w:type="dxa"/>
            <w:noWrap/>
          </w:tcPr>
          <w:p>
            <w:pPr>
              <w:widowControl/>
              <w:jc w:val="center"/>
              <w:textAlignment w:val="center"/>
              <w:rPr>
                <w:rFonts w:eastAsia="宋体" w:cs="Times New Roman"/>
                <w:color w:val="000000"/>
                <w:kern w:val="0"/>
                <w:sz w:val="20"/>
                <w:szCs w:val="21"/>
              </w:rPr>
            </w:pPr>
          </w:p>
        </w:tc>
      </w:tr>
      <w:tr>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Nebreda-Mayoral T, 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Lahmer T, 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RazaziK, 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90" w:hRule="atLeast"/>
        </w:trPr>
        <w:tc>
          <w:tcPr>
            <w:tcW w:w="1499" w:type="dxa"/>
            <w:noWrap/>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Chauvet P, et al.</w:t>
            </w:r>
          </w:p>
        </w:tc>
        <w:tc>
          <w:tcPr>
            <w:tcW w:w="1351" w:type="dxa"/>
            <w:noWrap/>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719"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Fekkar A, 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492" w:hRule="atLeast"/>
        </w:trPr>
        <w:tc>
          <w:tcPr>
            <w:tcW w:w="1499" w:type="dxa"/>
            <w:noWrap/>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Mitaka H,et al.</w:t>
            </w:r>
          </w:p>
        </w:tc>
        <w:tc>
          <w:tcPr>
            <w:tcW w:w="1351" w:type="dxa"/>
            <w:noWrap/>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p>
        </w:tc>
        <w:tc>
          <w:tcPr>
            <w:tcW w:w="1286" w:type="dxa"/>
            <w:noWrap/>
          </w:tcPr>
          <w:p>
            <w:pPr>
              <w:widowControl/>
              <w:jc w:val="center"/>
              <w:textAlignment w:val="center"/>
              <w:rPr>
                <w:rFonts w:eastAsia="宋体" w:cs="Times New Roman"/>
                <w:color w:val="000000"/>
                <w:kern w:val="0"/>
                <w:sz w:val="20"/>
                <w:szCs w:val="21"/>
              </w:rPr>
            </w:pPr>
          </w:p>
        </w:tc>
      </w:tr>
      <w:tr>
        <w:trPr>
          <w:trHeight w:val="90" w:hRule="atLeast"/>
        </w:trPr>
        <w:tc>
          <w:tcPr>
            <w:tcW w:w="1499" w:type="dxa"/>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Dupont D, et al.</w:t>
            </w:r>
          </w:p>
        </w:tc>
        <w:tc>
          <w:tcPr>
            <w:tcW w:w="135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Alanio A, 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p>
        </w:tc>
        <w:tc>
          <w:tcPr>
            <w:tcW w:w="1286" w:type="dxa"/>
            <w:noWrap/>
          </w:tcPr>
          <w:p>
            <w:pPr>
              <w:widowControl/>
              <w:jc w:val="center"/>
              <w:textAlignment w:val="center"/>
              <w:rPr>
                <w:rFonts w:eastAsia="宋体" w:cs="Times New Roman"/>
                <w:color w:val="000000"/>
                <w:kern w:val="0"/>
                <w:sz w:val="20"/>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Segrelles-Calvo G,et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r>
      <w:tr>
        <w:trPr>
          <w:trHeight w:val="90" w:hRule="atLeast"/>
        </w:trPr>
        <w:tc>
          <w:tcPr>
            <w:tcW w:w="1499" w:type="dxa"/>
            <w:noWrap/>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Helleberg M, et al</w:t>
            </w:r>
          </w:p>
        </w:tc>
        <w:tc>
          <w:tcPr>
            <w:tcW w:w="1351" w:type="dxa"/>
            <w:noWrap/>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van Arkel ALE,et al.</w:t>
            </w:r>
          </w:p>
        </w:tc>
        <w:tc>
          <w:tcPr>
            <w:tcW w:w="135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r>
      <w:tr>
        <w:trPr>
          <w:trHeight w:val="90" w:hRule="atLeast"/>
        </w:trPr>
        <w:tc>
          <w:tcPr>
            <w:tcW w:w="1499" w:type="dxa"/>
            <w:noWrap/>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Meijer EF,et al.</w:t>
            </w:r>
          </w:p>
        </w:tc>
        <w:tc>
          <w:tcPr>
            <w:tcW w:w="1351" w:type="dxa"/>
            <w:noWrap/>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noWrap/>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Gouzien L, et al.</w:t>
            </w:r>
          </w:p>
        </w:tc>
        <w:tc>
          <w:tcPr>
            <w:tcW w:w="135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2021</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Maes M, 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Delliere S, 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2021</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r>
      <w:tr>
        <w:trPr>
          <w:trHeight w:val="99"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van Grootveld R, 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White PL, 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Roman-Montes CM,et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Gangneux JP,et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rPr>
          <w:trHeight w:val="90" w:hRule="atLeast"/>
        </w:trPr>
        <w:tc>
          <w:tcPr>
            <w:tcW w:w="1499" w:type="dxa"/>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Buehler PK,et al.</w:t>
            </w:r>
          </w:p>
        </w:tc>
        <w:tc>
          <w:tcPr>
            <w:tcW w:w="1351" w:type="dxa"/>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42" w:type="dxa"/>
          </w:tcPr>
          <w:p>
            <w:pPr>
              <w:widowControl/>
              <w:jc w:val="center"/>
              <w:textAlignment w:val="center"/>
              <w:rPr>
                <w:rFonts w:eastAsia="宋体" w:cs="Times New Roman"/>
                <w:color w:val="000000"/>
                <w:kern w:val="0"/>
                <w:sz w:val="20"/>
                <w:szCs w:val="21"/>
              </w:rPr>
            </w:pPr>
          </w:p>
        </w:tc>
        <w:tc>
          <w:tcPr>
            <w:tcW w:w="1388" w:type="dxa"/>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Pr>
          <w:p>
            <w:pPr>
              <w:widowControl/>
              <w:jc w:val="center"/>
              <w:textAlignment w:val="center"/>
              <w:rPr>
                <w:rFonts w:eastAsia="宋体" w:cs="Times New Roman"/>
                <w:color w:val="000000"/>
                <w:kern w:val="0"/>
                <w:sz w:val="20"/>
                <w:szCs w:val="21"/>
              </w:rPr>
            </w:pPr>
          </w:p>
        </w:tc>
        <w:tc>
          <w:tcPr>
            <w:tcW w:w="1421"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noWrap/>
          </w:tcPr>
          <w:p>
            <w:pPr>
              <w:widowControl/>
              <w:jc w:val="center"/>
              <w:textAlignment w:val="center"/>
              <w:rPr>
                <w:rFonts w:eastAsia="宋体" w:cs="Times New Roman"/>
                <w:color w:val="000000"/>
                <w:kern w:val="0"/>
                <w:sz w:val="20"/>
                <w:szCs w:val="21"/>
              </w:rPr>
            </w:pPr>
          </w:p>
        </w:tc>
        <w:tc>
          <w:tcPr>
            <w:tcW w:w="1037"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286" w:type="dxa"/>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1499"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0"/>
                <w:szCs w:val="21"/>
              </w:rPr>
            </w:pPr>
            <w:r>
              <w:rPr>
                <w:rFonts w:eastAsia="宋体" w:cs="Times New Roman"/>
                <w:b/>
                <w:bCs/>
                <w:color w:val="000000"/>
                <w:kern w:val="0"/>
                <w:sz w:val="20"/>
                <w:szCs w:val="21"/>
                <w:lang w:bidi="ar"/>
              </w:rPr>
              <w:t>Wang J,et al</w:t>
            </w:r>
          </w:p>
        </w:tc>
        <w:tc>
          <w:tcPr>
            <w:tcW w:w="1351"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eastAsia="宋体" w:cs="Times New Roman"/>
                <w:color w:val="000000"/>
                <w:kern w:val="0"/>
                <w:sz w:val="20"/>
                <w:szCs w:val="21"/>
                <w:lang w:bidi="ar"/>
              </w:rPr>
              <w:t>2020</w:t>
            </w:r>
          </w:p>
        </w:tc>
        <w:tc>
          <w:tcPr>
            <w:tcW w:w="116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r>
              <w:rPr>
                <w:rFonts w:eastAsia="宋体" w:cs="Times New Roman"/>
                <w:color w:val="000000"/>
                <w:kern w:val="0"/>
                <w:sz w:val="20"/>
                <w:szCs w:val="21"/>
                <w:lang w:bidi="ar"/>
              </w:rPr>
              <w:t xml:space="preserve"> </w:t>
            </w:r>
          </w:p>
        </w:tc>
        <w:tc>
          <w:tcPr>
            <w:tcW w:w="1242"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38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39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0"/>
                <w:szCs w:val="21"/>
              </w:rPr>
            </w:pPr>
          </w:p>
        </w:tc>
        <w:tc>
          <w:tcPr>
            <w:tcW w:w="1421"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674"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037"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r>
              <w:rPr>
                <w:rFonts w:ascii="Segoe UI Symbol" w:hAnsi="Segoe UI Symbol" w:eastAsia="宋体" w:cs="Segoe UI Symbol"/>
                <w:color w:val="000000"/>
                <w:kern w:val="0"/>
                <w:sz w:val="20"/>
                <w:szCs w:val="21"/>
                <w:lang w:bidi="ar"/>
              </w:rPr>
              <w:t>☆</w:t>
            </w:r>
          </w:p>
        </w:tc>
        <w:tc>
          <w:tcPr>
            <w:tcW w:w="1158"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c>
          <w:tcPr>
            <w:tcW w:w="1286" w:type="dxa"/>
            <w:tcBorders>
              <w:top w:val="single" w:color="7E7E7E" w:themeColor="text1" w:themeTint="80" w:sz="4" w:space="0"/>
              <w:bottom w:val="single" w:color="7E7E7E" w:themeColor="text1" w:themeTint="80" w:sz="4" w:space="0"/>
              <w:insideH w:val="single" w:sz="4" w:space="0"/>
            </w:tcBorders>
            <w:noWrap/>
          </w:tcPr>
          <w:p>
            <w:pPr>
              <w:widowControl/>
              <w:jc w:val="center"/>
              <w:textAlignment w:val="center"/>
              <w:rPr>
                <w:rFonts w:eastAsia="宋体" w:cs="Times New Roman"/>
                <w:color w:val="000000"/>
                <w:kern w:val="0"/>
                <w:sz w:val="20"/>
                <w:szCs w:val="21"/>
              </w:rPr>
            </w:pPr>
          </w:p>
        </w:tc>
      </w:tr>
    </w:tbl>
    <w:p>
      <w:pPr>
        <w:rPr>
          <w:rFonts w:cs="Times New Roman"/>
          <w:sz w:val="24"/>
        </w:rPr>
      </w:pPr>
      <w:r>
        <w:rPr>
          <w:rFonts w:hint="eastAsia" w:cs="Times New Roman"/>
          <w:sz w:val="24"/>
        </w:rPr>
        <w:t xml:space="preserve">Abbreviation: </w:t>
      </w:r>
      <w:r>
        <w:rPr>
          <w:rFonts w:cs="Times New Roman"/>
          <w:sz w:val="24"/>
        </w:rPr>
        <w:t>Newcastle–Ottawa Scale</w:t>
      </w:r>
      <w:r>
        <w:rPr>
          <w:rFonts w:hint="eastAsia" w:cs="Times New Roman"/>
          <w:sz w:val="24"/>
        </w:rPr>
        <w:t xml:space="preserve">, </w:t>
      </w:r>
      <w:r>
        <w:rPr>
          <w:rFonts w:cs="Times New Roman"/>
          <w:sz w:val="24"/>
        </w:rPr>
        <w:t>NOS</w:t>
      </w:r>
    </w:p>
    <w:p>
      <w:pPr>
        <w:widowControl/>
        <w:jc w:val="left"/>
        <w:rPr>
          <w:rFonts w:cs="Times New Roman"/>
          <w:sz w:val="24"/>
        </w:rPr>
      </w:pPr>
      <w:r>
        <w:rPr>
          <w:rFonts w:cs="Times New Roman"/>
          <w:sz w:val="24"/>
        </w:rPr>
        <w:br w:type="page"/>
      </w:r>
    </w:p>
    <w:p>
      <w:pPr>
        <w:jc w:val="center"/>
      </w:pPr>
      <w:r>
        <w:drawing>
          <wp:inline distT="0" distB="0" distL="114300" distR="114300">
            <wp:extent cx="5029200" cy="3657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029200" cy="3657600"/>
                    </a:xfrm>
                    <a:prstGeom prst="rect">
                      <a:avLst/>
                    </a:prstGeom>
                    <a:noFill/>
                    <a:ln>
                      <a:noFill/>
                    </a:ln>
                  </pic:spPr>
                </pic:pic>
              </a:graphicData>
            </a:graphic>
          </wp:inline>
        </w:drawing>
      </w:r>
    </w:p>
    <w:p>
      <w:pPr>
        <w:jc w:val="center"/>
        <w:rPr>
          <w:b/>
          <w:bCs/>
        </w:rPr>
      </w:pPr>
      <w:r>
        <w:rPr>
          <w:b/>
          <w:bCs/>
        </w:rPr>
        <w:t xml:space="preserve">Supplementary 3 Figure A Publication bias with Egger’s test for incidence of CAPA among 29 cohort studies </w:t>
      </w:r>
      <w:r>
        <w:rPr>
          <w:rFonts w:hint="eastAsia"/>
          <w:b/>
          <w:bCs/>
        </w:rPr>
        <w:t>(t=8.95, P&lt;0.001)</w:t>
      </w:r>
    </w:p>
    <w:p/>
    <w:p>
      <w:pPr>
        <w:jc w:val="center"/>
      </w:pPr>
      <w:r>
        <w:drawing>
          <wp:inline distT="0" distB="0" distL="114300" distR="114300">
            <wp:extent cx="5029200" cy="365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029200" cy="3657600"/>
                    </a:xfrm>
                    <a:prstGeom prst="rect">
                      <a:avLst/>
                    </a:prstGeom>
                    <a:noFill/>
                    <a:ln>
                      <a:noFill/>
                    </a:ln>
                  </pic:spPr>
                </pic:pic>
              </a:graphicData>
            </a:graphic>
          </wp:inline>
        </w:drawing>
      </w:r>
    </w:p>
    <w:p>
      <w:pPr>
        <w:jc w:val="center"/>
        <w:rPr>
          <w:b/>
          <w:bCs/>
        </w:rPr>
      </w:pPr>
      <w:r>
        <w:rPr>
          <w:b/>
          <w:bCs/>
        </w:rPr>
        <w:t xml:space="preserve">Supplementary 3 Figure B Publication bias with Egger’s test for mortality of CAPA among 29 cohort studies </w:t>
      </w:r>
      <w:r>
        <w:rPr>
          <w:rFonts w:hint="eastAsia"/>
          <w:b/>
          <w:bCs/>
        </w:rPr>
        <w:t>(t=8.</w:t>
      </w:r>
      <w:r>
        <w:rPr>
          <w:b/>
          <w:bCs/>
        </w:rPr>
        <w:t>2</w:t>
      </w:r>
      <w:r>
        <w:rPr>
          <w:rFonts w:hint="eastAsia"/>
          <w:b/>
          <w:bCs/>
        </w:rPr>
        <w:t>5, P&lt;0.001)</w:t>
      </w:r>
    </w:p>
    <w:p>
      <w:pPr>
        <w:jc w:val="center"/>
      </w:pPr>
      <w:r>
        <w:drawing>
          <wp:inline distT="0" distB="0" distL="114300" distR="114300">
            <wp:extent cx="5029200" cy="365760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8"/>
                    <a:stretch>
                      <a:fillRect/>
                    </a:stretch>
                  </pic:blipFill>
                  <pic:spPr>
                    <a:xfrm>
                      <a:off x="0" y="0"/>
                      <a:ext cx="5029200" cy="3657600"/>
                    </a:xfrm>
                    <a:prstGeom prst="rect">
                      <a:avLst/>
                    </a:prstGeom>
                    <a:noFill/>
                    <a:ln>
                      <a:noFill/>
                    </a:ln>
                  </pic:spPr>
                </pic:pic>
              </a:graphicData>
            </a:graphic>
          </wp:inline>
        </w:drawing>
      </w:r>
    </w:p>
    <w:p>
      <w:pPr>
        <w:jc w:val="center"/>
        <w:rPr>
          <w:b/>
          <w:bCs/>
        </w:rPr>
      </w:pPr>
      <w:r>
        <w:rPr>
          <w:b/>
          <w:bCs/>
        </w:rPr>
        <w:t>Supplementary 3 Figure C Publication bias with Egger’s test for CFR of CAPA</w:t>
      </w:r>
    </w:p>
    <w:p>
      <w:pPr>
        <w:jc w:val="center"/>
      </w:pPr>
      <w:r>
        <w:rPr>
          <w:b/>
          <w:bCs/>
        </w:rPr>
        <w:t xml:space="preserve">among 29 cohort studies </w:t>
      </w:r>
      <w:r>
        <w:rPr>
          <w:rFonts w:hint="eastAsia"/>
          <w:b/>
          <w:bCs/>
        </w:rPr>
        <w:t>(t=-1.59, p=0.129)</w:t>
      </w:r>
    </w:p>
    <w:p/>
    <w:p>
      <w:pPr>
        <w:jc w:val="center"/>
      </w:pPr>
      <w:r>
        <w:drawing>
          <wp:inline distT="0" distB="0" distL="114300" distR="114300">
            <wp:extent cx="5029200" cy="3657600"/>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9"/>
                    <a:stretch>
                      <a:fillRect/>
                    </a:stretch>
                  </pic:blipFill>
                  <pic:spPr>
                    <a:xfrm>
                      <a:off x="0" y="0"/>
                      <a:ext cx="5029200" cy="3657600"/>
                    </a:xfrm>
                    <a:prstGeom prst="rect">
                      <a:avLst/>
                    </a:prstGeom>
                    <a:noFill/>
                    <a:ln>
                      <a:noFill/>
                    </a:ln>
                  </pic:spPr>
                </pic:pic>
              </a:graphicData>
            </a:graphic>
          </wp:inline>
        </w:drawing>
      </w:r>
    </w:p>
    <w:p>
      <w:pPr>
        <w:jc w:val="center"/>
      </w:pPr>
      <w:r>
        <w:rPr>
          <w:rFonts w:hint="eastAsia"/>
          <w:b/>
          <w:bCs/>
          <w:lang w:eastAsia="zh-Hans"/>
        </w:rPr>
        <w:t xml:space="preserve">Supplementary </w:t>
      </w:r>
      <w:r>
        <w:rPr>
          <w:b/>
          <w:bCs/>
          <w:lang w:eastAsia="zh-Hans"/>
        </w:rPr>
        <w:t xml:space="preserve">3 </w:t>
      </w:r>
      <w:r>
        <w:rPr>
          <w:rFonts w:hint="eastAsia"/>
          <w:b/>
          <w:bCs/>
          <w:lang w:eastAsia="zh-Hans"/>
        </w:rPr>
        <w:t xml:space="preserve">Figure </w:t>
      </w:r>
      <w:r>
        <w:rPr>
          <w:b/>
          <w:bCs/>
          <w:lang w:eastAsia="zh-Hans"/>
        </w:rPr>
        <w:t>D</w:t>
      </w:r>
      <w:r>
        <w:rPr>
          <w:rFonts w:hint="eastAsia"/>
          <w:b/>
          <w:bCs/>
          <w:lang w:eastAsia="zh-Hans"/>
        </w:rPr>
        <w:t xml:space="preserve"> Publication bias with Egger</w:t>
      </w:r>
      <w:r>
        <w:rPr>
          <w:b/>
          <w:bCs/>
          <w:lang w:eastAsia="zh-Hans"/>
        </w:rPr>
        <w:t>’s</w:t>
      </w:r>
      <w:r>
        <w:rPr>
          <w:rFonts w:hint="eastAsia"/>
          <w:b/>
          <w:bCs/>
          <w:lang w:eastAsia="zh-Hans"/>
        </w:rPr>
        <w:t xml:space="preserve"> test for </w:t>
      </w:r>
      <w:r>
        <w:rPr>
          <w:b/>
          <w:bCs/>
          <w:lang w:eastAsia="zh-Hans"/>
        </w:rPr>
        <w:t>mortality</w:t>
      </w:r>
      <w:r>
        <w:rPr>
          <w:rFonts w:hint="eastAsia"/>
          <w:b/>
          <w:bCs/>
          <w:lang w:eastAsia="zh-Hans"/>
        </w:rPr>
        <w:t xml:space="preserve"> of CAPA</w:t>
      </w:r>
      <w:r>
        <w:rPr>
          <w:b/>
          <w:bCs/>
          <w:lang w:eastAsia="zh-Hans"/>
        </w:rPr>
        <w:t xml:space="preserve"> compared with Non-CAPA </w:t>
      </w:r>
      <w:r>
        <w:rPr>
          <w:rFonts w:hint="eastAsia"/>
          <w:b/>
          <w:bCs/>
          <w:lang w:eastAsia="zh-Hans"/>
        </w:rPr>
        <w:t>(t=-1.59, p=0.129)</w:t>
      </w:r>
      <w:r>
        <w:rPr>
          <w:b/>
          <w:bCs/>
          <w:lang w:eastAsia="zh-Hans"/>
        </w:rPr>
        <w:t xml:space="preserve"> </w:t>
      </w:r>
    </w:p>
    <w:p/>
    <w:p>
      <w:pPr>
        <w:widowControl/>
        <w:jc w:val="left"/>
      </w:pPr>
      <w:r>
        <w:br w:type="page"/>
      </w:r>
    </w:p>
    <w:p/>
    <w:tbl>
      <w:tblPr>
        <w:tblStyle w:val="10"/>
        <w:tblW w:w="14908" w:type="dxa"/>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7"/>
        <w:gridCol w:w="1283"/>
        <w:gridCol w:w="3225"/>
        <w:gridCol w:w="3435"/>
        <w:gridCol w:w="446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12" w:hRule="atLeast"/>
        </w:trPr>
        <w:tc>
          <w:tcPr>
            <w:tcW w:w="14908" w:type="dxa"/>
            <w:gridSpan w:val="5"/>
            <w:tcBorders>
              <w:bottom w:val="single" w:color="7E7E7E" w:themeColor="text1" w:themeTint="80" w:sz="4" w:space="0"/>
              <w:insideH w:val="single" w:sz="4" w:space="0"/>
            </w:tcBorders>
            <w:noWrap/>
          </w:tcPr>
          <w:p>
            <w:pPr>
              <w:widowControl/>
              <w:jc w:val="center"/>
              <w:textAlignment w:val="center"/>
              <w:rPr>
                <w:rFonts w:eastAsia="宋体" w:cs="Times New Roman"/>
                <w:b w:val="0"/>
                <w:bCs w:val="0"/>
                <w:color w:val="000000"/>
                <w:kern w:val="0"/>
                <w:sz w:val="24"/>
              </w:rPr>
            </w:pPr>
            <w:r>
              <w:rPr>
                <w:rStyle w:val="11"/>
                <w:rFonts w:hint="eastAsia" w:eastAsia="宋体"/>
                <w:b w:val="0"/>
                <w:bCs w:val="0"/>
                <w:kern w:val="0"/>
                <w:lang w:bidi="ar"/>
              </w:rPr>
              <w:t xml:space="preserve">Supplementary </w:t>
            </w:r>
            <w:r>
              <w:rPr>
                <w:rStyle w:val="11"/>
                <w:rFonts w:eastAsia="宋体"/>
                <w:b w:val="0"/>
                <w:bCs w:val="0"/>
                <w:kern w:val="0"/>
                <w:lang w:bidi="ar"/>
              </w:rPr>
              <w:t>4 Definition of CAPA in all included cohort studies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628"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val="0"/>
                <w:bCs w:val="0"/>
                <w:kern w:val="0"/>
                <w:sz w:val="24"/>
              </w:rPr>
            </w:pPr>
            <w:r>
              <w:rPr>
                <w:rFonts w:hint="eastAsia" w:eastAsia="宋体" w:cs="Times New Roman"/>
                <w:b/>
                <w:bCs/>
                <w:kern w:val="0"/>
                <w:sz w:val="24"/>
                <w:lang w:bidi="ar"/>
              </w:rPr>
              <w:t>Author</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bCs/>
                <w:kern w:val="0"/>
                <w:sz w:val="24"/>
              </w:rPr>
            </w:pPr>
            <w:r>
              <w:rPr>
                <w:rFonts w:eastAsia="宋体" w:cs="Times New Roman"/>
                <w:b/>
                <w:bCs/>
                <w:kern w:val="0"/>
                <w:sz w:val="24"/>
                <w:lang w:bidi="ar"/>
              </w:rPr>
              <w:t>Publication Year</w:t>
            </w:r>
          </w:p>
        </w:tc>
        <w:tc>
          <w:tcPr>
            <w:tcW w:w="322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bCs/>
                <w:kern w:val="0"/>
                <w:sz w:val="24"/>
              </w:rPr>
            </w:pPr>
            <w:r>
              <w:rPr>
                <w:rFonts w:eastAsia="宋体" w:cs="Times New Roman"/>
                <w:b/>
                <w:bCs/>
                <w:kern w:val="0"/>
                <w:sz w:val="24"/>
                <w:lang w:bidi="ar"/>
              </w:rPr>
              <w:t>Clinical</w:t>
            </w:r>
          </w:p>
        </w:tc>
        <w:tc>
          <w:tcPr>
            <w:tcW w:w="3435"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bCs/>
                <w:kern w:val="0"/>
                <w:sz w:val="24"/>
              </w:rPr>
            </w:pPr>
            <w:r>
              <w:rPr>
                <w:rFonts w:eastAsia="宋体" w:cs="Times New Roman"/>
                <w:b/>
                <w:bCs/>
                <w:kern w:val="0"/>
                <w:sz w:val="24"/>
                <w:lang w:bidi="ar"/>
              </w:rPr>
              <w:t>Radiological</w:t>
            </w:r>
          </w:p>
        </w:tc>
        <w:tc>
          <w:tcPr>
            <w:tcW w:w="4468"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b/>
                <w:bCs/>
                <w:kern w:val="0"/>
                <w:sz w:val="24"/>
              </w:rPr>
            </w:pPr>
            <w:r>
              <w:rPr>
                <w:rFonts w:eastAsia="宋体" w:cs="Times New Roman"/>
                <w:b/>
                <w:bCs/>
                <w:kern w:val="0"/>
                <w:sz w:val="24"/>
                <w:lang w:bidi="ar"/>
              </w:rPr>
              <w:t>Microbiological</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 xml:space="preserve">Charalampous T, et al. </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criteria in patients with SARS-CoV-2 infection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RazaziK, 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 xml:space="preserve">IAPA case definition, and modified AspICU definition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90"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Maes M,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Style w:val="12"/>
                <w:rFonts w:eastAsia="宋体"/>
                <w:kern w:val="0"/>
                <w:lang w:bidi="ar"/>
              </w:rPr>
              <w:t xml:space="preserve">IAPA </w:t>
            </w:r>
            <w:r>
              <w:rPr>
                <w:rStyle w:val="12"/>
                <w:rFonts w:hint="eastAsia" w:eastAsia="宋体"/>
                <w:kern w:val="0"/>
                <w:lang w:bidi="ar"/>
              </w:rPr>
              <w:t>modified</w:t>
            </w:r>
            <w:r>
              <w:rPr>
                <w:rStyle w:val="12"/>
                <w:rFonts w:eastAsia="宋体"/>
                <w:kern w:val="0"/>
                <w:lang w:bidi="ar"/>
              </w:rPr>
              <w:t xml:space="preserve"> to include diagnosis by PCR</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48"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van Grootveld R, 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 xml:space="preserve">2020 ECMM/ISHAM consensus criteria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585"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White PL,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3225" w:type="dxa"/>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PCR confirmed COVID-19 infection and one of</w:t>
            </w:r>
            <w:r>
              <w:rPr>
                <w:rFonts w:hint="eastAsia" w:eastAsia="宋体" w:cs="Times New Roman"/>
                <w:color w:val="000000"/>
                <w:kern w:val="0"/>
                <w:sz w:val="24"/>
                <w:lang w:bidi="ar"/>
              </w:rPr>
              <w:t xml:space="preserve">: </w:t>
            </w:r>
            <w:r>
              <w:rPr>
                <w:rFonts w:eastAsia="宋体" w:cs="Times New Roman"/>
                <w:color w:val="000000"/>
                <w:kern w:val="0"/>
                <w:sz w:val="24"/>
                <w:lang w:bidi="ar"/>
              </w:rPr>
              <w:t>Refractory fever despite at least 3 days antibiotics</w:t>
            </w:r>
            <w:r>
              <w:rPr>
                <w:rFonts w:hint="eastAsia" w:eastAsia="宋体" w:cs="Times New Roman"/>
                <w:color w:val="000000"/>
                <w:kern w:val="0"/>
                <w:sz w:val="24"/>
                <w:lang w:bidi="ar"/>
              </w:rPr>
              <w:t xml:space="preserve"> </w:t>
            </w:r>
            <w:r>
              <w:rPr>
                <w:rFonts w:eastAsia="宋体" w:cs="Times New Roman"/>
                <w:color w:val="000000"/>
                <w:kern w:val="0"/>
                <w:sz w:val="24"/>
                <w:lang w:bidi="ar"/>
              </w:rPr>
              <w:t>Recrudescent fever of at least 48 hours despite antibiotics</w:t>
            </w:r>
            <w:r>
              <w:rPr>
                <w:rFonts w:hint="eastAsia" w:eastAsia="宋体" w:cs="Times New Roman"/>
                <w:color w:val="000000"/>
                <w:kern w:val="0"/>
                <w:sz w:val="24"/>
                <w:lang w:bidi="ar"/>
              </w:rPr>
              <w:t xml:space="preserve"> </w:t>
            </w:r>
            <w:r>
              <w:rPr>
                <w:rFonts w:eastAsia="宋体" w:cs="Times New Roman"/>
                <w:color w:val="000000"/>
                <w:kern w:val="0"/>
                <w:sz w:val="24"/>
                <w:lang w:bidi="ar"/>
              </w:rPr>
              <w:t>Dyspnoea</w:t>
            </w:r>
            <w:r>
              <w:rPr>
                <w:rFonts w:hint="eastAsia" w:eastAsia="宋体" w:cs="Times New Roman"/>
                <w:color w:val="000000"/>
                <w:kern w:val="0"/>
                <w:sz w:val="24"/>
                <w:lang w:bidi="ar"/>
              </w:rPr>
              <w:t xml:space="preserve"> </w:t>
            </w:r>
            <w:r>
              <w:rPr>
                <w:rFonts w:eastAsia="宋体" w:cs="Times New Roman"/>
                <w:color w:val="000000"/>
                <w:kern w:val="0"/>
                <w:sz w:val="24"/>
                <w:lang w:bidi="ar"/>
              </w:rPr>
              <w:t>Haemoptysis</w:t>
            </w:r>
            <w:r>
              <w:rPr>
                <w:rFonts w:hint="eastAsia" w:eastAsia="宋体" w:cs="Times New Roman"/>
                <w:color w:val="000000"/>
                <w:kern w:val="0"/>
                <w:sz w:val="24"/>
                <w:lang w:bidi="ar"/>
              </w:rPr>
              <w:t xml:space="preserve"> </w:t>
            </w:r>
            <w:r>
              <w:rPr>
                <w:rFonts w:eastAsia="宋体" w:cs="Times New Roman"/>
                <w:color w:val="000000"/>
                <w:kern w:val="0"/>
                <w:sz w:val="24"/>
                <w:lang w:bidi="ar"/>
              </w:rPr>
              <w:t>Pleural rub or chest pain</w:t>
            </w:r>
            <w:r>
              <w:rPr>
                <w:rFonts w:hint="eastAsia" w:eastAsia="宋体" w:cs="Times New Roman"/>
                <w:color w:val="000000"/>
                <w:kern w:val="0"/>
                <w:sz w:val="24"/>
                <w:lang w:bidi="ar"/>
              </w:rPr>
              <w:t xml:space="preserve"> </w:t>
            </w:r>
            <w:r>
              <w:rPr>
                <w:rFonts w:eastAsia="宋体" w:cs="Times New Roman"/>
                <w:color w:val="000000"/>
                <w:kern w:val="0"/>
                <w:sz w:val="24"/>
                <w:lang w:bidi="ar"/>
              </w:rPr>
              <w:t>Worsening respiratory function despite antibioticsand ventilatory support</w:t>
            </w:r>
          </w:p>
        </w:tc>
        <w:tc>
          <w:tcPr>
            <w:tcW w:w="3435" w:type="dxa"/>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New infiltrates on chest x-ray or chest CT when compared to admission,</w:t>
            </w:r>
            <w:r>
              <w:rPr>
                <w:rFonts w:hint="eastAsia" w:eastAsia="宋体" w:cs="Times New Roman"/>
                <w:color w:val="000000"/>
                <w:kern w:val="0"/>
                <w:sz w:val="24"/>
                <w:lang w:bidi="ar"/>
              </w:rPr>
              <w:t>in</w:t>
            </w:r>
            <w:r>
              <w:rPr>
                <w:rFonts w:eastAsia="宋体" w:cs="Times New Roman"/>
                <w:color w:val="000000"/>
                <w:kern w:val="0"/>
                <w:sz w:val="24"/>
                <w:lang w:bidi="ar"/>
              </w:rPr>
              <w:t>cluding progression of signs attributed to viral infection. Radiological signs typical of invasive pulmonary aspergillosis (nodules, halos, cavities, wedge-shaped and segmental or lobar consolidation) or evidence of sinusitis should be associated with heightened suspicion of fungal disease</w:t>
            </w:r>
          </w:p>
        </w:tc>
        <w:tc>
          <w:tcPr>
            <w:tcW w:w="4468" w:type="dxa"/>
          </w:tcPr>
          <w:p>
            <w:pPr>
              <w:widowControl/>
              <w:jc w:val="left"/>
              <w:textAlignment w:val="center"/>
              <w:rPr>
                <w:rFonts w:eastAsia="宋体" w:cs="Times New Roman"/>
                <w:color w:val="000000"/>
                <w:kern w:val="0"/>
                <w:sz w:val="24"/>
                <w:lang w:bidi="ar"/>
              </w:rPr>
            </w:pPr>
            <w:r>
              <w:rPr>
                <w:rFonts w:eastAsia="宋体" w:cs="Times New Roman"/>
                <w:b/>
                <w:bCs/>
                <w:color w:val="000000"/>
                <w:kern w:val="0"/>
                <w:sz w:val="24"/>
                <w:u w:val="single"/>
                <w:lang w:bidi="ar"/>
              </w:rPr>
              <w:t xml:space="preserve">Proven: </w:t>
            </w:r>
            <w:r>
              <w:rPr>
                <w:rFonts w:eastAsia="宋体" w:cs="Times New Roman"/>
                <w:color w:val="000000"/>
                <w:kern w:val="0"/>
                <w:sz w:val="24"/>
                <w:lang w:bidi="ar"/>
              </w:rPr>
              <w:t>Histology/Microscopy demonstrating dichotomous septatehyphae in tissue Positive culture from tissue.</w:t>
            </w:r>
            <w:r>
              <w:rPr>
                <w:rFonts w:eastAsia="宋体" w:cs="Times New Roman"/>
                <w:color w:val="000000"/>
                <w:kern w:val="0"/>
                <w:sz w:val="24"/>
                <w:lang w:bidi="ar"/>
              </w:rPr>
              <w:br w:type="textWrapping"/>
            </w:r>
            <w:r>
              <w:rPr>
                <w:rFonts w:eastAsia="宋体" w:cs="Times New Roman"/>
                <w:b/>
                <w:bCs/>
                <w:color w:val="000000"/>
                <w:kern w:val="0"/>
                <w:sz w:val="24"/>
                <w:u w:val="single"/>
                <w:lang w:bidi="ar"/>
              </w:rPr>
              <w:t>Putative:</w:t>
            </w:r>
            <w:r>
              <w:rPr>
                <w:rFonts w:eastAsia="宋体" w:cs="Times New Roman"/>
                <w:color w:val="000000"/>
                <w:kern w:val="0"/>
                <w:sz w:val="24"/>
                <w:lang w:bidi="ar"/>
              </w:rPr>
              <w:t xml:space="preserve"> Non-specific radiology: Two or more positives across different test types, or multiple positives within one test type, from the following: Positive culture from NBL/BAL Positive GM-EIA in NBL/BAL (I≥1·0)Positive GM-EIA in serum (I≥0·5)Positive Aspergillus</w:t>
            </w:r>
            <w:r>
              <w:rPr>
                <w:rFonts w:hint="eastAsia" w:eastAsia="宋体" w:cs="Times New Roman"/>
                <w:color w:val="000000"/>
                <w:kern w:val="0"/>
                <w:sz w:val="24"/>
                <w:lang w:bidi="ar"/>
              </w:rPr>
              <w:t xml:space="preserve"> </w:t>
            </w:r>
            <w:r>
              <w:rPr>
                <w:rFonts w:eastAsia="宋体" w:cs="Times New Roman"/>
                <w:color w:val="000000"/>
                <w:kern w:val="0"/>
                <w:sz w:val="24"/>
                <w:lang w:bidi="ar"/>
              </w:rPr>
              <w:t>PCR in BAL or blood</w:t>
            </w:r>
            <w:r>
              <w:rPr>
                <w:rFonts w:hint="eastAsia" w:eastAsia="宋体" w:cs="Times New Roman"/>
                <w:color w:val="000000"/>
                <w:kern w:val="0"/>
                <w:sz w:val="24"/>
                <w:lang w:bidi="ar"/>
              </w:rPr>
              <w:t xml:space="preserve"> </w:t>
            </w:r>
            <w:r>
              <w:rPr>
                <w:rFonts w:eastAsia="宋体" w:cs="Times New Roman"/>
                <w:color w:val="000000"/>
                <w:kern w:val="0"/>
                <w:sz w:val="24"/>
                <w:lang w:bidi="ar"/>
              </w:rPr>
              <w:t>Positive 1-3-β-D-Glucan in serum/plasma</w:t>
            </w:r>
            <w:r>
              <w:rPr>
                <w:rFonts w:hint="eastAsia" w:eastAsia="宋体" w:cs="Times New Roman"/>
                <w:color w:val="000000"/>
                <w:kern w:val="0"/>
                <w:sz w:val="24"/>
                <w:lang w:bidi="ar"/>
              </w:rPr>
              <w:t xml:space="preserve"> </w:t>
            </w:r>
          </w:p>
          <w:p>
            <w:pPr>
              <w:widowControl/>
              <w:jc w:val="left"/>
              <w:textAlignment w:val="center"/>
              <w:rPr>
                <w:rFonts w:eastAsia="宋体" w:cs="Times New Roman"/>
                <w:color w:val="000000"/>
                <w:kern w:val="0"/>
                <w:sz w:val="24"/>
              </w:rPr>
            </w:pPr>
            <w:r>
              <w:rPr>
                <w:rFonts w:eastAsia="宋体" w:cs="Times New Roman"/>
                <w:b/>
                <w:bCs/>
                <w:color w:val="000000"/>
                <w:kern w:val="0"/>
                <w:sz w:val="24"/>
                <w:u w:val="single"/>
                <w:lang w:bidi="ar"/>
              </w:rPr>
              <w:t xml:space="preserve">Radiology typical of IA: </w:t>
            </w:r>
            <w:r>
              <w:rPr>
                <w:rFonts w:eastAsia="宋体" w:cs="Times New Roman"/>
                <w:color w:val="000000"/>
                <w:kern w:val="0"/>
                <w:sz w:val="24"/>
                <w:lang w:bidi="ar"/>
              </w:rPr>
              <w:t>One positive mycological tests as listed above, unless the typical radiological signs can be attributed to a different underlying infection (e.g. lung cancer or alternative infection). In this scenario multiple positive results would be required to attain a diagnosis of putative IPA.</w:t>
            </w:r>
            <w:r>
              <w:rPr>
                <w:rFonts w:eastAsia="宋体" w:cs="Times New Roman"/>
                <w:color w:val="000000"/>
                <w:kern w:val="0"/>
                <w:sz w:val="24"/>
                <w:lang w:bidi="ar"/>
              </w:rPr>
              <w:br w:type="textWrapping"/>
            </w:r>
            <w:r>
              <w:rPr>
                <w:rFonts w:eastAsia="宋体" w:cs="Times New Roman"/>
                <w:color w:val="000000"/>
                <w:kern w:val="0"/>
                <w:sz w:val="24"/>
                <w:lang w:bidi="ar"/>
              </w:rPr>
              <w:t>Please note:</w:t>
            </w:r>
            <w:r>
              <w:rPr>
                <w:rFonts w:hint="eastAsia" w:eastAsia="宋体" w:cs="Times New Roman"/>
                <w:color w:val="000000"/>
                <w:kern w:val="0"/>
                <w:sz w:val="24"/>
                <w:lang w:bidi="ar"/>
              </w:rPr>
              <w:t xml:space="preserve"> </w:t>
            </w:r>
            <w:r>
              <w:rPr>
                <w:rFonts w:eastAsia="宋体" w:cs="Times New Roman"/>
                <w:color w:val="000000"/>
                <w:kern w:val="0"/>
                <w:sz w:val="24"/>
                <w:lang w:bidi="ar"/>
              </w:rPr>
              <w:t>Given the a etiological diversity associated with sinusitis, multiple positive tests from the list above are required to</w:t>
            </w:r>
            <w:r>
              <w:rPr>
                <w:rFonts w:hint="eastAsia" w:eastAsia="宋体" w:cs="Times New Roman"/>
                <w:color w:val="000000"/>
                <w:kern w:val="0"/>
                <w:sz w:val="24"/>
                <w:lang w:bidi="ar"/>
              </w:rPr>
              <w:t xml:space="preserve"> </w:t>
            </w:r>
            <w:r>
              <w:rPr>
                <w:rFonts w:eastAsia="宋体" w:cs="Times New Roman"/>
                <w:color w:val="000000"/>
                <w:kern w:val="0"/>
                <w:sz w:val="24"/>
                <w:lang w:bidi="ar"/>
              </w:rPr>
              <w:t>attain a diagnosis of putative IPA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633"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Roman-Montes CM,et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Algorithm</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Gangneux JP,et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criteria in patients with SARS-CoV-2 infection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Buehler PK,et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IDSA Practice Guidelines for the Diagnosis and</w:t>
            </w:r>
            <w:r>
              <w:rPr>
                <w:rFonts w:hint="eastAsia" w:eastAsia="宋体" w:cs="Times New Roman"/>
                <w:color w:val="000000"/>
                <w:kern w:val="0"/>
                <w:sz w:val="24"/>
                <w:lang w:bidi="ar"/>
              </w:rPr>
              <w:t xml:space="preserve"> </w:t>
            </w:r>
            <w:r>
              <w:rPr>
                <w:rFonts w:eastAsia="宋体" w:cs="Times New Roman"/>
                <w:color w:val="000000"/>
                <w:kern w:val="0"/>
                <w:sz w:val="24"/>
                <w:lang w:bidi="ar"/>
              </w:rPr>
              <w:t>Management of Aspergillosis (2016)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683"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Wang J,et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EORTC/MSGERC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Borman AM, 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2021</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Algorithm</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Rutsaert L,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AspICU algorithm,</w:t>
            </w:r>
            <w:r>
              <w:rPr>
                <w:rFonts w:hint="eastAsia" w:eastAsia="宋体" w:cs="Times New Roman"/>
                <w:color w:val="000000"/>
                <w:kern w:val="0"/>
                <w:sz w:val="24"/>
                <w:lang w:bidi="ar"/>
              </w:rPr>
              <w:t xml:space="preserve"> </w:t>
            </w:r>
            <w:r>
              <w:rPr>
                <w:rFonts w:eastAsia="宋体" w:cs="Times New Roman"/>
                <w:color w:val="000000"/>
                <w:kern w:val="0"/>
                <w:sz w:val="24"/>
                <w:lang w:bidi="ar"/>
              </w:rPr>
              <w:t>the EORTC criteria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Koehler P,et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criteria in patients with SARS-CoV-2 infection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1245"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Nasir N,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clinical signs and symptoms</w:t>
            </w:r>
            <w:r>
              <w:rPr>
                <w:rFonts w:hint="eastAsia" w:eastAsia="宋体" w:cs="Times New Roman"/>
                <w:color w:val="000000"/>
                <w:kern w:val="0"/>
                <w:sz w:val="24"/>
                <w:lang w:bidi="ar"/>
              </w:rPr>
              <w:t xml:space="preserve"> </w:t>
            </w:r>
            <w:r>
              <w:rPr>
                <w:rFonts w:eastAsia="宋体" w:cs="Times New Roman"/>
                <w:color w:val="000000"/>
                <w:kern w:val="0"/>
                <w:sz w:val="24"/>
                <w:lang w:bidi="ar"/>
              </w:rPr>
              <w:t>,lung imaging, respiratory specimen culture (bronchoalveolar lavage (BAL), tracheal aspirate or sputum) positive for Aspergillus spp. or a positive serum or lower respiratory samples galactomannan index of more than 0.5 and 1.0 respectively in patients who were either not improving from COVID-19 or who worsened after transient improvement of symptoms from COVID-19</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Van Biesen S, 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criteria in patients with SARS-CoV-2 infection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Bartoletti M,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IAPA case definition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Lamoth F,et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IAPA case definition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633"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Nebreda-Mayoral T,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 xml:space="preserve">Not clearly described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Lahmer T, 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criteria in patients with SARS-CoV-2 infection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Chauvet P,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AspICU criteria, EORTC-MSG criteria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Fekkar A, 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 xml:space="preserve">Not clearly described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Mitaka H,et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criteria in patients with SARS-CoV-2 infection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Dupont D, 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criteria in patients with SARS-CoV-2 infection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881"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Alanio A,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 xml:space="preserve"> EORTC-MSG criteria  (if immunocompromised) or the IAPA criteria combined with serum β-D-glucan and quantitative real-time PCR (qPCR)</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628"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Segrelles-Calvo G,et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EORTC/MSG criteria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Helleberg M,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the modified AspICU criteria in patients with SARS-CoV-2 infection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van Arkel ALE,et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IAPA  case  definition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Meijer EF,et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2020</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ECMM/ISHAM consensus criteria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322" w:hRule="atLeast"/>
        </w:trPr>
        <w:tc>
          <w:tcPr>
            <w:tcW w:w="2497" w:type="dxa"/>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Gouzien L, et al.</w:t>
            </w:r>
          </w:p>
        </w:tc>
        <w:tc>
          <w:tcPr>
            <w:tcW w:w="1283" w:type="dxa"/>
            <w:tcBorders>
              <w:top w:val="single" w:color="7E7E7E" w:themeColor="text1" w:themeTint="80" w:sz="4" w:space="0"/>
              <w:bottom w:val="single" w:color="7E7E7E" w:themeColor="text1" w:themeTint="80" w:sz="4" w:space="0"/>
              <w:insideH w:val="single" w:sz="4" w:space="0"/>
            </w:tcBorders>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2021</w:t>
            </w:r>
          </w:p>
        </w:tc>
        <w:tc>
          <w:tcPr>
            <w:tcW w:w="11128" w:type="dxa"/>
            <w:gridSpan w:val="3"/>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AspICU algorithm, the EORTC criteria,the expert consensus case criteria for IAPA, and Alanio’s definition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628" w:hRule="atLeast"/>
        </w:trPr>
        <w:tc>
          <w:tcPr>
            <w:tcW w:w="2497" w:type="dxa"/>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Delliere S, et al.</w:t>
            </w:r>
          </w:p>
        </w:tc>
        <w:tc>
          <w:tcPr>
            <w:tcW w:w="1283" w:type="dxa"/>
          </w:tcPr>
          <w:p>
            <w:pPr>
              <w:widowControl/>
              <w:jc w:val="center"/>
              <w:textAlignment w:val="center"/>
              <w:rPr>
                <w:rFonts w:eastAsia="宋体" w:cs="Times New Roman"/>
                <w:color w:val="000000"/>
                <w:kern w:val="0"/>
                <w:sz w:val="24"/>
              </w:rPr>
            </w:pPr>
            <w:r>
              <w:rPr>
                <w:rFonts w:eastAsia="宋体" w:cs="Times New Roman"/>
                <w:color w:val="000000"/>
                <w:kern w:val="0"/>
                <w:sz w:val="24"/>
                <w:lang w:bidi="ar"/>
              </w:rPr>
              <w:t>2021</w:t>
            </w:r>
          </w:p>
        </w:tc>
        <w:tc>
          <w:tcPr>
            <w:tcW w:w="11128" w:type="dxa"/>
            <w:gridSpan w:val="3"/>
          </w:tcPr>
          <w:p>
            <w:pPr>
              <w:widowControl/>
              <w:jc w:val="left"/>
              <w:textAlignment w:val="center"/>
              <w:rPr>
                <w:rFonts w:eastAsia="宋体" w:cs="Times New Roman"/>
                <w:color w:val="000000"/>
                <w:kern w:val="0"/>
                <w:sz w:val="24"/>
              </w:rPr>
            </w:pPr>
            <w:r>
              <w:rPr>
                <w:rFonts w:eastAsia="宋体" w:cs="Times New Roman"/>
                <w:color w:val="000000"/>
                <w:kern w:val="0"/>
                <w:sz w:val="24"/>
                <w:lang w:bidi="ar"/>
              </w:rPr>
              <w:t>EORTC/MSGERC consensus criteria in</w:t>
            </w:r>
            <w:r>
              <w:rPr>
                <w:rFonts w:hint="eastAsia" w:eastAsia="宋体" w:cs="Times New Roman"/>
                <w:color w:val="000000"/>
                <w:kern w:val="0"/>
                <w:sz w:val="24"/>
                <w:lang w:bidi="ar"/>
              </w:rPr>
              <w:t xml:space="preserve"> </w:t>
            </w:r>
            <w:r>
              <w:rPr>
                <w:rFonts w:eastAsia="宋体" w:cs="Times New Roman"/>
                <w:color w:val="000000"/>
                <w:kern w:val="0"/>
                <w:sz w:val="24"/>
                <w:lang w:bidi="ar"/>
              </w:rPr>
              <w:t xml:space="preserve">immunocompromised patients and according to the consensus case definition proposal for influenza-/COVID-19-associated pulmonary aspergillosis(CAPA) in ICU patients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rPr>
          <w:trHeight w:val="637" w:hRule="atLeast"/>
        </w:trPr>
        <w:tc>
          <w:tcPr>
            <w:tcW w:w="14908" w:type="dxa"/>
            <w:gridSpan w:val="5"/>
            <w:tcBorders>
              <w:top w:val="single" w:color="7E7E7E" w:themeColor="text1" w:themeTint="80" w:sz="4" w:space="0"/>
              <w:bottom w:val="single" w:color="7E7E7E" w:themeColor="text1" w:themeTint="80" w:sz="4" w:space="0"/>
              <w:insideH w:val="single" w:sz="4" w:space="0"/>
            </w:tcBorders>
          </w:tcPr>
          <w:p>
            <w:pPr>
              <w:widowControl/>
              <w:jc w:val="left"/>
              <w:textAlignment w:val="center"/>
              <w:rPr>
                <w:rFonts w:eastAsia="宋体" w:cs="Times New Roman"/>
                <w:b/>
                <w:bCs/>
                <w:color w:val="000000"/>
                <w:kern w:val="0"/>
                <w:sz w:val="24"/>
              </w:rPr>
            </w:pPr>
            <w:r>
              <w:rPr>
                <w:rFonts w:eastAsia="宋体" w:cs="Times New Roman"/>
                <w:b/>
                <w:bCs/>
                <w:color w:val="000000"/>
                <w:kern w:val="0"/>
                <w:sz w:val="24"/>
                <w:lang w:bidi="ar"/>
              </w:rPr>
              <w:t>Abbreviation : CAPA, COVID-19-associated pulmonary aspergillosis; EORTC, European Organization for Research and Treatment of Cancer; MSGERC,the Mycoses Study Group Education and Research Consortium; IAPA: influenza-associated pulmonary aspergillosis</w:t>
            </w:r>
          </w:p>
        </w:tc>
      </w:tr>
    </w:tbl>
    <w:p/>
    <w:p>
      <w:pPr>
        <w:widowControl/>
        <w:jc w:val="left"/>
      </w:pPr>
      <w:r>
        <w:br w:type="page"/>
      </w:r>
    </w:p>
    <w:p>
      <w:pPr>
        <w:pStyle w:val="13"/>
        <w:jc w:val="center"/>
        <w:rPr>
          <w:rFonts w:ascii="Arial" w:hAnsi="Arial" w:cs="Arial"/>
          <w:sz w:val="8"/>
          <w:szCs w:val="8"/>
        </w:rPr>
      </w:pPr>
    </w:p>
    <w:p>
      <w:pPr>
        <w:pStyle w:val="14"/>
        <w:jc w:val="center"/>
        <w:rPr>
          <w:b/>
          <w:lang w:eastAsia="zh-CN"/>
        </w:rPr>
      </w:pPr>
      <w:r>
        <w:rPr>
          <w:rFonts w:hint="eastAsia"/>
          <w:b/>
          <w:lang w:eastAsia="zh-CN"/>
        </w:rPr>
        <w:t>S</w:t>
      </w:r>
      <w:r>
        <w:rPr>
          <w:b/>
          <w:lang w:eastAsia="zh-CN"/>
        </w:rPr>
        <w:t>upplementary 5 Checklist of this study</w:t>
      </w:r>
    </w:p>
    <w:tbl>
      <w:tblPr>
        <w:tblStyle w:val="5"/>
        <w:tblW w:w="15200" w:type="dxa"/>
        <w:tblInd w:w="0" w:type="dxa"/>
        <w:tblLayout w:type="autofit"/>
        <w:tblCellMar>
          <w:top w:w="0" w:type="dxa"/>
          <w:left w:w="108" w:type="dxa"/>
          <w:bottom w:w="0" w:type="dxa"/>
          <w:right w:w="108" w:type="dxa"/>
        </w:tblCellMar>
      </w:tblPr>
      <w:tblGrid>
        <w:gridCol w:w="2800"/>
        <w:gridCol w:w="540"/>
        <w:gridCol w:w="10600"/>
        <w:gridCol w:w="1260"/>
      </w:tblGrid>
      <w:tr>
        <w:trPr>
          <w:trHeight w:val="663" w:hRule="atLeast"/>
        </w:trPr>
        <w:tc>
          <w:tcPr>
            <w:tcW w:w="2800"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14"/>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14"/>
              <w:jc w:val="right"/>
              <w:rPr>
                <w:rFonts w:ascii="Arial" w:hAnsi="Arial" w:cs="Arial"/>
                <w:b/>
                <w:bCs/>
                <w:color w:val="FFFFFF"/>
                <w:sz w:val="22"/>
                <w:szCs w:val="22"/>
              </w:rPr>
            </w:pPr>
            <w:r>
              <w:rPr>
                <w:rFonts w:ascii="Arial" w:hAnsi="Arial" w:cs="Arial"/>
                <w:b/>
                <w:bCs/>
                <w:color w:val="FFFFFF"/>
                <w:sz w:val="22"/>
                <w:szCs w:val="22"/>
              </w:rPr>
              <w:t>#</w:t>
            </w:r>
          </w:p>
        </w:tc>
        <w:tc>
          <w:tcPr>
            <w:tcW w:w="106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14"/>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14"/>
              <w:rPr>
                <w:rFonts w:ascii="Arial" w:hAnsi="Arial" w:cs="Arial"/>
                <w:color w:val="FFFFFF"/>
                <w:sz w:val="22"/>
                <w:szCs w:val="22"/>
              </w:rPr>
            </w:pPr>
            <w:r>
              <w:rPr>
                <w:rFonts w:ascii="Arial" w:hAnsi="Arial" w:cs="Arial"/>
                <w:b/>
                <w:bCs/>
                <w:color w:val="FFFFFF"/>
                <w:sz w:val="22"/>
                <w:szCs w:val="22"/>
              </w:rPr>
              <w:t xml:space="preserve">Reported on page # </w:t>
            </w:r>
          </w:p>
        </w:tc>
      </w:tr>
      <w:tr>
        <w:trPr>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14"/>
              <w:rPr>
                <w:rFonts w:ascii="Arial" w:hAnsi="Arial" w:cs="Arial"/>
                <w:sz w:val="22"/>
                <w:szCs w:val="22"/>
              </w:rPr>
            </w:pPr>
            <w:r>
              <w:rPr>
                <w:rFonts w:ascii="Arial" w:hAnsi="Arial" w:cs="Arial"/>
                <w:b/>
                <w:bCs/>
                <w:sz w:val="22"/>
                <w:szCs w:val="22"/>
              </w:rPr>
              <w:t xml:space="preserve">TITLE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tcPr>
          <w:p>
            <w:pPr>
              <w:pStyle w:val="14"/>
              <w:jc w:val="right"/>
              <w:rPr>
                <w:rFonts w:ascii="Arial" w:hAnsi="Arial" w:cs="Arial"/>
                <w:color w:val="auto"/>
              </w:rPr>
            </w:pPr>
          </w:p>
        </w:tc>
      </w:tr>
      <w:tr>
        <w:trPr>
          <w:trHeight w:val="323" w:hRule="atLeast"/>
        </w:trPr>
        <w:tc>
          <w:tcPr>
            <w:tcW w:w="2800" w:type="dxa"/>
            <w:tcBorders>
              <w:top w:val="single" w:color="000000" w:sz="4" w:space="0"/>
              <w:left w:val="single" w:color="000000" w:sz="4" w:space="0"/>
              <w:bottom w:val="double" w:color="FFFFCC" w:sz="2"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color="000000" w:sz="4" w:space="0"/>
              <w:left w:val="single" w:color="000000" w:sz="4" w:space="0"/>
              <w:bottom w:val="double" w:color="FFFFCC" w:sz="2"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w:t>
            </w:r>
          </w:p>
        </w:tc>
        <w:tc>
          <w:tcPr>
            <w:tcW w:w="10600" w:type="dxa"/>
            <w:tcBorders>
              <w:top w:val="single" w:color="000000" w:sz="4" w:space="0"/>
              <w:left w:val="single" w:color="000000" w:sz="4" w:space="0"/>
              <w:bottom w:val="doub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260" w:type="dxa"/>
            <w:tcBorders>
              <w:top w:val="single" w:color="000000" w:sz="4" w:space="0"/>
              <w:left w:val="single" w:color="000000" w:sz="4" w:space="0"/>
              <w:bottom w:val="doub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1</w:t>
            </w:r>
          </w:p>
        </w:tc>
      </w:tr>
      <w:tr>
        <w:trPr>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14"/>
              <w:rPr>
                <w:rFonts w:ascii="Arial" w:hAnsi="Arial" w:cs="Arial"/>
                <w:sz w:val="22"/>
                <w:szCs w:val="22"/>
              </w:rPr>
            </w:pPr>
            <w:r>
              <w:rPr>
                <w:rFonts w:ascii="Arial" w:hAnsi="Arial" w:cs="Arial"/>
                <w:b/>
                <w:bCs/>
                <w:sz w:val="22"/>
                <w:szCs w:val="22"/>
              </w:rPr>
              <w:t xml:space="preserve">ABSTRACT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tcPr>
          <w:p>
            <w:pPr>
              <w:pStyle w:val="14"/>
              <w:jc w:val="right"/>
              <w:rPr>
                <w:rFonts w:ascii="Arial" w:hAnsi="Arial" w:cs="Arial"/>
                <w:color w:val="auto"/>
              </w:rPr>
            </w:pPr>
          </w:p>
        </w:tc>
      </w:tr>
      <w:tr>
        <w:trPr>
          <w:trHeight w:val="810" w:hRule="atLeast"/>
        </w:trPr>
        <w:tc>
          <w:tcPr>
            <w:tcW w:w="2800" w:type="dxa"/>
            <w:tcBorders>
              <w:top w:val="single" w:color="000000" w:sz="4" w:space="0"/>
              <w:left w:val="single" w:color="000000" w:sz="4" w:space="0"/>
              <w:bottom w:val="double" w:color="FFFFCC" w:sz="2"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color="000000" w:sz="4" w:space="0"/>
              <w:left w:val="single" w:color="000000" w:sz="4" w:space="0"/>
              <w:bottom w:val="double" w:color="FFFFCC" w:sz="2"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w:t>
            </w:r>
          </w:p>
        </w:tc>
        <w:tc>
          <w:tcPr>
            <w:tcW w:w="10600" w:type="dxa"/>
            <w:tcBorders>
              <w:top w:val="single" w:color="000000" w:sz="4" w:space="0"/>
              <w:left w:val="single" w:color="000000" w:sz="4" w:space="0"/>
              <w:bottom w:val="doub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color="000000" w:sz="4" w:space="0"/>
              <w:left w:val="single" w:color="000000" w:sz="4" w:space="0"/>
              <w:bottom w:val="doub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2</w:t>
            </w:r>
          </w:p>
        </w:tc>
      </w:tr>
      <w:tr>
        <w:trPr>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14"/>
              <w:rPr>
                <w:rFonts w:ascii="Arial" w:hAnsi="Arial" w:cs="Arial"/>
                <w:sz w:val="22"/>
                <w:szCs w:val="22"/>
              </w:rPr>
            </w:pPr>
            <w:r>
              <w:rPr>
                <w:rFonts w:ascii="Arial" w:hAnsi="Arial" w:cs="Arial"/>
                <w:b/>
                <w:bCs/>
                <w:sz w:val="22"/>
                <w:szCs w:val="22"/>
              </w:rPr>
              <w:t xml:space="preserve">INTRODUCTION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tcPr>
          <w:p>
            <w:pPr>
              <w:pStyle w:val="14"/>
              <w:jc w:val="center"/>
              <w:rPr>
                <w:rFonts w:ascii="Arial" w:hAnsi="Arial" w:cs="Arial"/>
                <w:color w:val="auto"/>
              </w:rPr>
            </w:pPr>
          </w:p>
        </w:tc>
      </w:tr>
      <w:tr>
        <w:trPr>
          <w:trHeight w:val="333"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3</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3</w:t>
            </w:r>
          </w:p>
        </w:tc>
      </w:tr>
      <w:tr>
        <w:trPr>
          <w:trHeight w:val="568" w:hRule="atLeast"/>
        </w:trPr>
        <w:tc>
          <w:tcPr>
            <w:tcW w:w="2800" w:type="dxa"/>
            <w:tcBorders>
              <w:top w:val="single" w:color="000000" w:sz="4" w:space="0"/>
              <w:left w:val="single" w:color="000000" w:sz="4" w:space="0"/>
              <w:bottom w:val="double" w:color="FFFFCC" w:sz="2"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color="000000" w:sz="4" w:space="0"/>
              <w:left w:val="single" w:color="000000" w:sz="4" w:space="0"/>
              <w:bottom w:val="double" w:color="FFFFCC" w:sz="2"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4</w:t>
            </w:r>
          </w:p>
        </w:tc>
        <w:tc>
          <w:tcPr>
            <w:tcW w:w="10600" w:type="dxa"/>
            <w:tcBorders>
              <w:top w:val="single" w:color="000000" w:sz="4" w:space="0"/>
              <w:left w:val="single" w:color="000000" w:sz="4" w:space="0"/>
              <w:bottom w:val="doub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color="000000" w:sz="4" w:space="0"/>
              <w:left w:val="single" w:color="000000" w:sz="4" w:space="0"/>
              <w:bottom w:val="doub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3</w:t>
            </w:r>
          </w:p>
        </w:tc>
      </w:tr>
      <w:tr>
        <w:trPr>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14"/>
              <w:rPr>
                <w:rFonts w:ascii="Arial" w:hAnsi="Arial" w:cs="Arial"/>
                <w:sz w:val="22"/>
                <w:szCs w:val="22"/>
              </w:rPr>
            </w:pPr>
            <w:r>
              <w:rPr>
                <w:rFonts w:ascii="Arial" w:hAnsi="Arial" w:cs="Arial"/>
                <w:b/>
                <w:bCs/>
                <w:sz w:val="22"/>
                <w:szCs w:val="22"/>
              </w:rPr>
              <w:t xml:space="preserve">METHODS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tcPr>
          <w:p>
            <w:pPr>
              <w:pStyle w:val="14"/>
              <w:jc w:val="center"/>
              <w:rPr>
                <w:rFonts w:ascii="Arial" w:hAnsi="Arial" w:cs="Arial"/>
                <w:color w:val="auto"/>
              </w:rPr>
            </w:pP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5</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ascii="Arial" w:hAnsi="Arial" w:cs="Arial"/>
                <w:color w:val="auto"/>
                <w:lang w:eastAsia="zh-CN"/>
              </w:rPr>
              <w:t>3</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6</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4</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7</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4</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8</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3</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9</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4</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10</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4</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Data items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11</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4</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12</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5</w:t>
            </w:r>
          </w:p>
        </w:tc>
      </w:tr>
      <w:tr>
        <w:trPr>
          <w:trHeight w:val="333"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13</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5</w:t>
            </w:r>
          </w:p>
        </w:tc>
      </w:tr>
      <w:tr>
        <w:trPr>
          <w:trHeight w:val="580"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14</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5</w:t>
            </w:r>
          </w:p>
        </w:tc>
      </w:tr>
    </w:tbl>
    <w:p>
      <w:pPr>
        <w:pStyle w:val="14"/>
      </w:pPr>
    </w:p>
    <w:p>
      <w:pPr>
        <w:pStyle w:val="13"/>
        <w:jc w:val="center"/>
        <w:rPr>
          <w:rFonts w:ascii="Arial" w:hAnsi="Arial" w:cs="Arial"/>
          <w:sz w:val="16"/>
          <w:szCs w:val="16"/>
        </w:rPr>
      </w:pPr>
      <w:r>
        <w:rPr>
          <w:rFonts w:ascii="Arial" w:hAnsi="Arial" w:cs="Arial"/>
          <w:sz w:val="16"/>
          <w:szCs w:val="16"/>
        </w:rPr>
        <w:t xml:space="preserve">Page 1 of 2 </w:t>
      </w:r>
    </w:p>
    <w:tbl>
      <w:tblPr>
        <w:tblStyle w:val="5"/>
        <w:tblW w:w="15200" w:type="dxa"/>
        <w:tblInd w:w="0" w:type="dxa"/>
        <w:tblLayout w:type="autofit"/>
        <w:tblCellMar>
          <w:top w:w="0" w:type="dxa"/>
          <w:left w:w="108" w:type="dxa"/>
          <w:bottom w:w="0" w:type="dxa"/>
          <w:right w:w="108" w:type="dxa"/>
        </w:tblCellMar>
      </w:tblPr>
      <w:tblGrid>
        <w:gridCol w:w="2800"/>
        <w:gridCol w:w="540"/>
        <w:gridCol w:w="10600"/>
        <w:gridCol w:w="1260"/>
      </w:tblGrid>
      <w:tr>
        <w:trPr>
          <w:trHeight w:val="663" w:hRule="atLeast"/>
        </w:trPr>
        <w:tc>
          <w:tcPr>
            <w:tcW w:w="28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14"/>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14"/>
              <w:jc w:val="right"/>
              <w:rPr>
                <w:rFonts w:ascii="Arial" w:hAnsi="Arial" w:cs="Arial"/>
                <w:sz w:val="22"/>
                <w:szCs w:val="22"/>
              </w:rPr>
            </w:pPr>
            <w:r>
              <w:rPr>
                <w:rFonts w:ascii="Arial" w:hAnsi="Arial" w:cs="Arial"/>
                <w:b/>
                <w:bCs/>
                <w:color w:val="FFFFFF"/>
                <w:sz w:val="22"/>
                <w:szCs w:val="22"/>
              </w:rPr>
              <w:t>#</w:t>
            </w:r>
          </w:p>
        </w:tc>
        <w:tc>
          <w:tcPr>
            <w:tcW w:w="106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14"/>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14"/>
              <w:rPr>
                <w:rFonts w:ascii="Arial" w:hAnsi="Arial" w:cs="Arial"/>
                <w:color w:val="FFFFFF"/>
                <w:sz w:val="22"/>
                <w:szCs w:val="22"/>
              </w:rPr>
            </w:pPr>
            <w:r>
              <w:rPr>
                <w:rFonts w:ascii="Arial" w:hAnsi="Arial" w:cs="Arial"/>
                <w:b/>
                <w:bCs/>
                <w:color w:val="FFFFFF"/>
                <w:sz w:val="22"/>
                <w:szCs w:val="22"/>
              </w:rPr>
              <w:t xml:space="preserve">Reported on page # </w:t>
            </w:r>
          </w:p>
        </w:tc>
      </w:tr>
      <w:tr>
        <w:trPr>
          <w:trHeight w:val="575" w:hRule="atLeast"/>
        </w:trPr>
        <w:tc>
          <w:tcPr>
            <w:tcW w:w="2800" w:type="dxa"/>
            <w:tcBorders>
              <w:top w:val="doub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doub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15</w:t>
            </w:r>
          </w:p>
        </w:tc>
        <w:tc>
          <w:tcPr>
            <w:tcW w:w="10600" w:type="dxa"/>
            <w:tcBorders>
              <w:top w:val="doub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ascii="Arial" w:hAnsi="Arial" w:cs="Arial"/>
                <w:color w:val="auto"/>
                <w:lang w:eastAsia="zh-CN"/>
              </w:rPr>
              <w:t>5</w:t>
            </w:r>
          </w:p>
        </w:tc>
      </w:tr>
      <w:tr>
        <w:trPr>
          <w:trHeight w:val="568" w:hRule="atLeast"/>
        </w:trPr>
        <w:tc>
          <w:tcPr>
            <w:tcW w:w="2800" w:type="dxa"/>
            <w:tcBorders>
              <w:top w:val="single" w:color="000000" w:sz="4" w:space="0"/>
              <w:left w:val="single" w:color="000000" w:sz="4" w:space="0"/>
              <w:bottom w:val="double" w:color="FFFFCC" w:sz="2"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Additional analyses </w:t>
            </w:r>
          </w:p>
        </w:tc>
        <w:tc>
          <w:tcPr>
            <w:tcW w:w="540" w:type="dxa"/>
            <w:tcBorders>
              <w:top w:val="single" w:color="000000" w:sz="4" w:space="0"/>
              <w:left w:val="single" w:color="000000" w:sz="4" w:space="0"/>
              <w:bottom w:val="double" w:color="FFFFCC" w:sz="2"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16</w:t>
            </w:r>
          </w:p>
        </w:tc>
        <w:tc>
          <w:tcPr>
            <w:tcW w:w="10600" w:type="dxa"/>
            <w:tcBorders>
              <w:top w:val="single" w:color="000000" w:sz="4" w:space="0"/>
              <w:left w:val="single" w:color="000000" w:sz="4" w:space="0"/>
              <w:bottom w:val="doub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1260" w:type="dxa"/>
            <w:tcBorders>
              <w:top w:val="single" w:color="000000" w:sz="4" w:space="0"/>
              <w:left w:val="single" w:color="000000" w:sz="4" w:space="0"/>
              <w:bottom w:val="doub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5</w:t>
            </w:r>
          </w:p>
        </w:tc>
      </w:tr>
      <w:tr>
        <w:trPr>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14"/>
              <w:rPr>
                <w:rFonts w:ascii="Arial" w:hAnsi="Arial" w:cs="Arial"/>
                <w:sz w:val="22"/>
                <w:szCs w:val="22"/>
              </w:rPr>
            </w:pPr>
            <w:r>
              <w:rPr>
                <w:rFonts w:ascii="Arial" w:hAnsi="Arial" w:cs="Arial"/>
                <w:b/>
                <w:bCs/>
                <w:sz w:val="22"/>
                <w:szCs w:val="22"/>
              </w:rPr>
              <w:t xml:space="preserve">RESULTS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tcPr>
          <w:p>
            <w:pPr>
              <w:pStyle w:val="14"/>
              <w:jc w:val="center"/>
              <w:rPr>
                <w:rFonts w:ascii="Arial" w:hAnsi="Arial" w:cs="Arial"/>
                <w:color w:val="auto"/>
              </w:rPr>
            </w:pP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17</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5</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Study characteristics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18</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5</w:t>
            </w:r>
          </w:p>
        </w:tc>
      </w:tr>
      <w:tr>
        <w:trPr>
          <w:trHeight w:val="333"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Risk of bias within studies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19</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5</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Results of individual studies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20</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6</w:t>
            </w:r>
          </w:p>
        </w:tc>
      </w:tr>
      <w:tr>
        <w:trPr>
          <w:trHeight w:val="335"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21</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260" w:type="dxa"/>
            <w:tcBorders>
              <w:top w:val="single" w:color="000000" w:sz="4" w:space="0"/>
              <w:left w:val="single" w:color="000000" w:sz="4" w:space="0"/>
              <w:bottom w:val="single" w:color="000000" w:sz="4" w:space="0"/>
              <w:right w:val="single" w:color="000000" w:sz="4" w:space="0"/>
            </w:tcBorders>
          </w:tcPr>
          <w:p>
            <w:pPr>
              <w:jc w:val="center"/>
            </w:pPr>
            <w:r>
              <w:rPr>
                <w:rFonts w:hint="eastAsia" w:ascii="Arial" w:hAnsi="Arial" w:cs="Arial"/>
              </w:rPr>
              <w:t>6</w:t>
            </w:r>
            <w:r>
              <w:rPr>
                <w:rFonts w:ascii="Arial" w:hAnsi="Arial" w:cs="Arial"/>
              </w:rPr>
              <w:t>,7,8</w:t>
            </w:r>
          </w:p>
        </w:tc>
      </w:tr>
      <w:tr>
        <w:trPr>
          <w:trHeight w:val="333"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22</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260" w:type="dxa"/>
            <w:tcBorders>
              <w:top w:val="single" w:color="000000" w:sz="4" w:space="0"/>
              <w:left w:val="single" w:color="000000" w:sz="4" w:space="0"/>
              <w:bottom w:val="single" w:color="000000" w:sz="4" w:space="0"/>
              <w:right w:val="single" w:color="000000" w:sz="4" w:space="0"/>
            </w:tcBorders>
          </w:tcPr>
          <w:p>
            <w:pPr>
              <w:jc w:val="center"/>
            </w:pPr>
            <w:r>
              <w:rPr>
                <w:rFonts w:hint="eastAsia" w:ascii="Arial" w:hAnsi="Arial" w:cs="Arial"/>
              </w:rPr>
              <w:t>6</w:t>
            </w:r>
            <w:r>
              <w:rPr>
                <w:rFonts w:ascii="Arial" w:hAnsi="Arial" w:cs="Arial"/>
              </w:rPr>
              <w:t>,7,8</w:t>
            </w:r>
          </w:p>
        </w:tc>
      </w:tr>
      <w:tr>
        <w:trPr>
          <w:trHeight w:val="393" w:hRule="atLeast"/>
        </w:trPr>
        <w:tc>
          <w:tcPr>
            <w:tcW w:w="2800" w:type="dxa"/>
            <w:tcBorders>
              <w:top w:val="single" w:color="000000" w:sz="4" w:space="0"/>
              <w:left w:val="single" w:color="000000" w:sz="4" w:space="0"/>
              <w:bottom w:val="double" w:color="FFFFCC" w:sz="2"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Additional analysis </w:t>
            </w:r>
          </w:p>
        </w:tc>
        <w:tc>
          <w:tcPr>
            <w:tcW w:w="540" w:type="dxa"/>
            <w:tcBorders>
              <w:top w:val="single" w:color="000000" w:sz="4" w:space="0"/>
              <w:left w:val="single" w:color="000000" w:sz="4" w:space="0"/>
              <w:bottom w:val="double" w:color="FFFFCC" w:sz="2"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23</w:t>
            </w:r>
          </w:p>
        </w:tc>
        <w:tc>
          <w:tcPr>
            <w:tcW w:w="10600" w:type="dxa"/>
            <w:tcBorders>
              <w:top w:val="single" w:color="000000" w:sz="4" w:space="0"/>
              <w:left w:val="single" w:color="000000" w:sz="4" w:space="0"/>
              <w:bottom w:val="doub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260" w:type="dxa"/>
            <w:tcBorders>
              <w:top w:val="single" w:color="000000" w:sz="4" w:space="0"/>
              <w:left w:val="single" w:color="000000" w:sz="4" w:space="0"/>
              <w:bottom w:val="double" w:color="000000" w:sz="4" w:space="0"/>
              <w:right w:val="single" w:color="000000" w:sz="4" w:space="0"/>
            </w:tcBorders>
          </w:tcPr>
          <w:p>
            <w:pPr>
              <w:jc w:val="center"/>
            </w:pPr>
            <w:r>
              <w:rPr>
                <w:rFonts w:hint="eastAsia" w:ascii="Arial" w:hAnsi="Arial" w:cs="Arial"/>
              </w:rPr>
              <w:t>6</w:t>
            </w:r>
            <w:r>
              <w:rPr>
                <w:rFonts w:ascii="Arial" w:hAnsi="Arial" w:cs="Arial"/>
              </w:rPr>
              <w:t>,7,8</w:t>
            </w:r>
          </w:p>
        </w:tc>
      </w:tr>
      <w:tr>
        <w:trPr>
          <w:trHeight w:val="335"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14"/>
              <w:rPr>
                <w:rFonts w:ascii="Arial" w:hAnsi="Arial" w:cs="Arial"/>
                <w:sz w:val="22"/>
                <w:szCs w:val="22"/>
              </w:rPr>
            </w:pPr>
            <w:r>
              <w:rPr>
                <w:rFonts w:ascii="Arial" w:hAnsi="Arial" w:cs="Arial"/>
                <w:b/>
                <w:bCs/>
                <w:sz w:val="22"/>
                <w:szCs w:val="22"/>
              </w:rPr>
              <w:t xml:space="preserve">DISCUSSION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tcPr>
          <w:p>
            <w:pPr>
              <w:pStyle w:val="14"/>
              <w:jc w:val="center"/>
              <w:rPr>
                <w:rFonts w:ascii="Arial" w:hAnsi="Arial" w:cs="Arial"/>
                <w:color w:val="auto"/>
              </w:rPr>
            </w:pP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Summary of evidence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24</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8</w:t>
            </w:r>
            <w:r>
              <w:rPr>
                <w:rFonts w:ascii="Arial" w:hAnsi="Arial" w:cs="Arial"/>
                <w:color w:val="auto"/>
                <w:lang w:eastAsia="zh-CN"/>
              </w:rPr>
              <w:t>,9</w:t>
            </w:r>
          </w:p>
        </w:tc>
      </w:tr>
      <w:tr>
        <w:trPr>
          <w:trHeight w:val="578" w:hRule="atLeast"/>
        </w:trPr>
        <w:tc>
          <w:tcPr>
            <w:tcW w:w="28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Limitations </w:t>
            </w:r>
          </w:p>
        </w:tc>
        <w:tc>
          <w:tcPr>
            <w:tcW w:w="540" w:type="dxa"/>
            <w:tcBorders>
              <w:top w:val="single" w:color="000000" w:sz="4" w:space="0"/>
              <w:left w:val="single" w:color="000000" w:sz="4" w:space="0"/>
              <w:bottom w:val="sing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25</w:t>
            </w:r>
          </w:p>
        </w:tc>
        <w:tc>
          <w:tcPr>
            <w:tcW w:w="10600" w:type="dxa"/>
            <w:tcBorders>
              <w:top w:val="single" w:color="000000" w:sz="4" w:space="0"/>
              <w:left w:val="single" w:color="000000" w:sz="4" w:space="0"/>
              <w:bottom w:val="sing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color="000000" w:sz="4" w:space="0"/>
              <w:left w:val="single" w:color="000000" w:sz="4" w:space="0"/>
              <w:bottom w:val="sing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9</w:t>
            </w:r>
            <w:r>
              <w:rPr>
                <w:rFonts w:ascii="Arial" w:hAnsi="Arial" w:cs="Arial"/>
                <w:color w:val="auto"/>
                <w:lang w:eastAsia="zh-CN"/>
              </w:rPr>
              <w:t>,10</w:t>
            </w:r>
          </w:p>
        </w:tc>
      </w:tr>
      <w:tr>
        <w:trPr>
          <w:trHeight w:val="420" w:hRule="atLeast"/>
        </w:trPr>
        <w:tc>
          <w:tcPr>
            <w:tcW w:w="2800" w:type="dxa"/>
            <w:tcBorders>
              <w:top w:val="single" w:color="000000" w:sz="4" w:space="0"/>
              <w:left w:val="single" w:color="000000" w:sz="4" w:space="0"/>
              <w:bottom w:val="double" w:color="FFFFCC" w:sz="2"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Conclusions </w:t>
            </w:r>
          </w:p>
        </w:tc>
        <w:tc>
          <w:tcPr>
            <w:tcW w:w="540" w:type="dxa"/>
            <w:tcBorders>
              <w:top w:val="single" w:color="000000" w:sz="4" w:space="0"/>
              <w:left w:val="single" w:color="000000" w:sz="4" w:space="0"/>
              <w:bottom w:val="double" w:color="FFFFCC" w:sz="2"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26</w:t>
            </w:r>
          </w:p>
        </w:tc>
        <w:tc>
          <w:tcPr>
            <w:tcW w:w="10600" w:type="dxa"/>
            <w:tcBorders>
              <w:top w:val="single" w:color="000000" w:sz="4" w:space="0"/>
              <w:left w:val="single" w:color="000000" w:sz="4" w:space="0"/>
              <w:bottom w:val="doub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color="000000" w:sz="4" w:space="0"/>
              <w:left w:val="single" w:color="000000" w:sz="4" w:space="0"/>
              <w:bottom w:val="double" w:color="000000" w:sz="4" w:space="0"/>
              <w:right w:val="single" w:color="000000" w:sz="4" w:space="0"/>
            </w:tcBorders>
          </w:tcPr>
          <w:p>
            <w:pPr>
              <w:pStyle w:val="14"/>
              <w:spacing w:before="40" w:after="40"/>
              <w:jc w:val="center"/>
              <w:rPr>
                <w:rFonts w:ascii="Arial" w:hAnsi="Arial" w:cs="Arial"/>
                <w:color w:val="auto"/>
              </w:rPr>
            </w:pPr>
            <w:r>
              <w:rPr>
                <w:rFonts w:hint="eastAsia" w:ascii="Arial" w:hAnsi="Arial" w:cs="Arial"/>
                <w:color w:val="auto"/>
                <w:lang w:eastAsia="zh-CN"/>
              </w:rPr>
              <w:t>9</w:t>
            </w:r>
            <w:r>
              <w:rPr>
                <w:rFonts w:ascii="Arial" w:hAnsi="Arial" w:cs="Arial"/>
                <w:color w:val="auto"/>
                <w:lang w:eastAsia="zh-CN"/>
              </w:rPr>
              <w:t>,10</w:t>
            </w:r>
          </w:p>
        </w:tc>
      </w:tr>
      <w:tr>
        <w:trPr>
          <w:trHeight w:val="333" w:hRule="atLeast"/>
        </w:trPr>
        <w:tc>
          <w:tcPr>
            <w:tcW w:w="1394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14"/>
              <w:rPr>
                <w:rFonts w:ascii="Arial" w:hAnsi="Arial" w:cs="Arial"/>
                <w:sz w:val="22"/>
                <w:szCs w:val="22"/>
              </w:rPr>
            </w:pPr>
            <w:r>
              <w:rPr>
                <w:rFonts w:ascii="Arial" w:hAnsi="Arial" w:cs="Arial"/>
                <w:b/>
                <w:bCs/>
                <w:sz w:val="22"/>
                <w:szCs w:val="22"/>
              </w:rPr>
              <w:t xml:space="preserve">FUNDING </w:t>
            </w:r>
          </w:p>
        </w:tc>
        <w:tc>
          <w:tcPr>
            <w:tcW w:w="1260" w:type="dxa"/>
            <w:tcBorders>
              <w:top w:val="double" w:color="000000" w:sz="4" w:space="0"/>
              <w:left w:val="single" w:color="000000" w:sz="4" w:space="0"/>
              <w:bottom w:val="single" w:color="000000" w:sz="4" w:space="0"/>
              <w:right w:val="single" w:color="000000" w:sz="4" w:space="0"/>
            </w:tcBorders>
            <w:shd w:val="clear" w:color="auto" w:fill="FFFFCC"/>
          </w:tcPr>
          <w:p>
            <w:pPr>
              <w:pStyle w:val="14"/>
              <w:jc w:val="center"/>
              <w:rPr>
                <w:rFonts w:ascii="Arial" w:hAnsi="Arial" w:cs="Arial"/>
                <w:color w:val="auto"/>
              </w:rPr>
            </w:pPr>
          </w:p>
        </w:tc>
      </w:tr>
      <w:tr>
        <w:trPr>
          <w:trHeight w:val="570" w:hRule="atLeast"/>
        </w:trPr>
        <w:tc>
          <w:tcPr>
            <w:tcW w:w="2800" w:type="dxa"/>
            <w:tcBorders>
              <w:top w:val="single" w:color="000000" w:sz="4" w:space="0"/>
              <w:left w:val="single" w:color="000000" w:sz="4" w:space="0"/>
              <w:bottom w:val="doub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Funding </w:t>
            </w:r>
          </w:p>
        </w:tc>
        <w:tc>
          <w:tcPr>
            <w:tcW w:w="540" w:type="dxa"/>
            <w:tcBorders>
              <w:top w:val="single" w:color="000000" w:sz="4" w:space="0"/>
              <w:left w:val="single" w:color="000000" w:sz="4" w:space="0"/>
              <w:bottom w:val="double" w:color="000000" w:sz="4" w:space="0"/>
              <w:right w:val="single" w:color="000000" w:sz="4" w:space="0"/>
            </w:tcBorders>
          </w:tcPr>
          <w:p>
            <w:pPr>
              <w:pStyle w:val="14"/>
              <w:spacing w:before="40" w:after="40"/>
              <w:jc w:val="right"/>
              <w:rPr>
                <w:rFonts w:ascii="Arial" w:hAnsi="Arial" w:cs="Arial"/>
                <w:sz w:val="20"/>
                <w:szCs w:val="20"/>
              </w:rPr>
            </w:pPr>
            <w:r>
              <w:rPr>
                <w:rFonts w:ascii="Arial" w:hAnsi="Arial" w:cs="Arial"/>
                <w:sz w:val="20"/>
                <w:szCs w:val="20"/>
              </w:rPr>
              <w:t>27</w:t>
            </w:r>
          </w:p>
        </w:tc>
        <w:tc>
          <w:tcPr>
            <w:tcW w:w="10600" w:type="dxa"/>
            <w:tcBorders>
              <w:top w:val="single" w:color="000000" w:sz="4" w:space="0"/>
              <w:left w:val="single" w:color="000000" w:sz="4" w:space="0"/>
              <w:bottom w:val="double" w:color="000000" w:sz="4" w:space="0"/>
              <w:right w:val="single" w:color="000000" w:sz="4" w:space="0"/>
            </w:tcBorders>
          </w:tcPr>
          <w:p>
            <w:pPr>
              <w:pStyle w:val="14"/>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color="000000" w:sz="4" w:space="0"/>
              <w:left w:val="single" w:color="000000" w:sz="4" w:space="0"/>
              <w:bottom w:val="double" w:color="000000" w:sz="4" w:space="0"/>
              <w:right w:val="single" w:color="000000" w:sz="4" w:space="0"/>
            </w:tcBorders>
          </w:tcPr>
          <w:p>
            <w:pPr>
              <w:pStyle w:val="14"/>
              <w:spacing w:before="40" w:after="40"/>
              <w:jc w:val="center"/>
              <w:rPr>
                <w:rFonts w:ascii="Arial" w:hAnsi="Arial" w:cs="Arial"/>
                <w:color w:val="auto"/>
                <w:lang w:eastAsia="zh-CN"/>
              </w:rPr>
            </w:pPr>
            <w:r>
              <w:rPr>
                <w:rFonts w:hint="eastAsia" w:ascii="Arial" w:hAnsi="Arial" w:cs="Arial"/>
                <w:color w:val="auto"/>
                <w:lang w:eastAsia="zh-CN"/>
              </w:rPr>
              <w:t>1</w:t>
            </w:r>
            <w:r>
              <w:rPr>
                <w:rFonts w:ascii="Arial" w:hAnsi="Arial" w:cs="Arial"/>
                <w:color w:val="auto"/>
                <w:lang w:eastAsia="zh-CN"/>
              </w:rPr>
              <w:t>1</w:t>
            </w:r>
          </w:p>
        </w:tc>
      </w:tr>
    </w:tbl>
    <w:p>
      <w:pPr>
        <w:pStyle w:val="14"/>
        <w:rPr>
          <w:rFonts w:ascii="Arial" w:hAnsi="Arial" w:cs="Arial"/>
          <w:color w:val="auto"/>
        </w:rPr>
      </w:pPr>
    </w:p>
    <w:p>
      <w:pPr>
        <w:pStyle w:val="14"/>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Liberati A, Tetzlaff J, Altman DG, The PRISMA Group (2009). Preferred Reporting Items for Systematic Reviews and Meta-Analyses: The PRISMA Statement. </w:t>
      </w:r>
      <w:r>
        <w:rPr>
          <w:rFonts w:ascii="Arial" w:hAnsi="Arial" w:cs="Arial"/>
          <w:color w:val="auto"/>
          <w:sz w:val="16"/>
          <w:szCs w:val="16"/>
          <w:lang w:val="da-DK"/>
        </w:rPr>
        <w:t xml:space="preserve">PLoS Med 6(7): e1000097. doi:10.1371/journal.pmed1000097 </w:t>
      </w:r>
    </w:p>
    <w:p/>
    <w:sectPr>
      <w:headerReference r:id="rId3" w:type="default"/>
      <w:head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华文宋体">
    <w:panose1 w:val="02010600040101010101"/>
    <w:charset w:val="86"/>
    <w:family w:val="auto"/>
    <w:pitch w:val="default"/>
    <w:sig w:usb0="80000287" w:usb1="280F3C52" w:usb2="00000016" w:usb3="00000000" w:csb0="0004001F" w:csb1="00000000"/>
  </w:font>
  <w:font w:name="Times New Roman Regular">
    <w:panose1 w:val="02020503050405090304"/>
    <w:charset w:val="00"/>
    <w:family w:val="auto"/>
    <w:pitch w:val="default"/>
    <w:sig w:usb0="E0000AFF" w:usb1="00007843" w:usb2="00000001" w:usb3="00000000" w:csb0="400001BF" w:csb1="DFF70000"/>
  </w:font>
  <w:font w:name="Times New Roman Bold">
    <w:panose1 w:val="02020503050405090304"/>
    <w:charset w:val="00"/>
    <w:family w:val="auto"/>
    <w:pitch w:val="default"/>
    <w:sig w:usb0="E0000AFF" w:usb1="00007843" w:usb2="00000001" w:usb3="00000000" w:csb0="400001BF" w:csb1="DFF70000"/>
  </w:font>
  <w:font w:name="Segoe UI Symbol">
    <w:altName w:val="苹方-简"/>
    <w:panose1 w:val="020B0502040204020203"/>
    <w:charset w:val="00"/>
    <w:family w:val="swiss"/>
    <w:pitch w:val="default"/>
    <w:sig w:usb0="00000000" w:usb1="00000000" w:usb2="00040000" w:usb3="00000000" w:csb0="00000001" w:csb1="00000000"/>
  </w:font>
  <w:font w:name="Arial">
    <w:panose1 w:val="020B0604020202090204"/>
    <w:charset w:val="00"/>
    <w:family w:val="swiss"/>
    <w:pitch w:val="default"/>
    <w:sig w:usb0="E0000AFF" w:usb1="00007843" w:usb2="00000001" w:usb3="00000000" w:csb0="400001BF" w:csb1="DFF7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0D"/>
    <w:rsid w:val="001536CB"/>
    <w:rsid w:val="00154D43"/>
    <w:rsid w:val="001E569D"/>
    <w:rsid w:val="00231841"/>
    <w:rsid w:val="002C560D"/>
    <w:rsid w:val="004A73AE"/>
    <w:rsid w:val="0053663B"/>
    <w:rsid w:val="005F4553"/>
    <w:rsid w:val="006F2D1A"/>
    <w:rsid w:val="00DC51E4"/>
    <w:rsid w:val="4C7D6A97"/>
    <w:rsid w:val="B7F5C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宋体"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 w:type="character" w:customStyle="1" w:styleId="8">
    <w:name w:val="font101"/>
    <w:basedOn w:val="4"/>
    <w:qFormat/>
    <w:uiPriority w:val="0"/>
    <w:rPr>
      <w:rFonts w:hint="eastAsia" w:ascii="宋体" w:hAnsi="宋体" w:eastAsia="宋体" w:cs="宋体"/>
      <w:color w:val="FF0000"/>
      <w:sz w:val="24"/>
      <w:szCs w:val="24"/>
      <w:u w:val="none"/>
    </w:rPr>
  </w:style>
  <w:style w:type="character" w:customStyle="1" w:styleId="9">
    <w:name w:val="font91"/>
    <w:basedOn w:val="4"/>
    <w:qFormat/>
    <w:uiPriority w:val="0"/>
    <w:rPr>
      <w:rFonts w:hint="default" w:ascii="Times New Roman Regular" w:hAnsi="Times New Roman Regular" w:eastAsia="Times New Roman Regular" w:cs="Times New Roman Regular"/>
      <w:color w:val="FF0000"/>
      <w:sz w:val="24"/>
      <w:szCs w:val="24"/>
      <w:u w:val="none"/>
    </w:rPr>
  </w:style>
  <w:style w:type="table" w:customStyle="1" w:styleId="10">
    <w:name w:val="Plain Table 2"/>
    <w:basedOn w:val="5"/>
    <w:qFormat/>
    <w:uiPriority w:val="42"/>
    <w:rPr>
      <w:rFonts w:ascii="Times New Roman" w:hAnsi="Times New Roman" w:eastAsia="宋体" w:cs="Times New Roman"/>
      <w:kern w:val="0"/>
      <w:sz w:val="20"/>
      <w:szCs w:val="20"/>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1">
    <w:name w:val="font11"/>
    <w:basedOn w:val="4"/>
    <w:qFormat/>
    <w:uiPriority w:val="0"/>
    <w:rPr>
      <w:rFonts w:hint="default" w:ascii="Times New Roman" w:hAnsi="Times New Roman" w:cs="Times New Roman"/>
      <w:b/>
      <w:bCs/>
      <w:color w:val="000000"/>
      <w:sz w:val="24"/>
      <w:szCs w:val="24"/>
      <w:u w:val="none"/>
    </w:rPr>
  </w:style>
  <w:style w:type="character" w:customStyle="1" w:styleId="12">
    <w:name w:val="font21"/>
    <w:basedOn w:val="4"/>
    <w:qFormat/>
    <w:uiPriority w:val="0"/>
    <w:rPr>
      <w:rFonts w:hint="default" w:ascii="Times New Roman" w:hAnsi="Times New Roman" w:cs="Times New Roman"/>
      <w:color w:val="000000"/>
      <w:sz w:val="24"/>
      <w:szCs w:val="24"/>
      <w:u w:val="none"/>
    </w:rPr>
  </w:style>
  <w:style w:type="paragraph" w:customStyle="1" w:styleId="13">
    <w:name w:val="CM1"/>
    <w:basedOn w:val="14"/>
    <w:next w:val="14"/>
    <w:qFormat/>
    <w:uiPriority w:val="0"/>
    <w:rPr>
      <w:rFonts w:cs="Times New Roman"/>
      <w:color w:val="auto"/>
    </w:rPr>
  </w:style>
  <w:style w:type="paragraph" w:customStyle="1" w:styleId="14">
    <w:name w:val="Default"/>
    <w:qFormat/>
    <w:uiPriority w:val="0"/>
    <w:pPr>
      <w:widowControl w:val="0"/>
      <w:autoSpaceDE w:val="0"/>
      <w:autoSpaceDN w:val="0"/>
      <w:adjustRightInd w:val="0"/>
    </w:pPr>
    <w:rPr>
      <w:rFonts w:ascii="Calibri" w:hAnsi="Calibri" w:cs="Calibri" w:eastAsiaTheme="minorEastAsia"/>
      <w:color w:val="000000"/>
      <w:kern w:val="0"/>
      <w:sz w:val="24"/>
      <w:szCs w:val="24"/>
      <w:lang w:val="en-CA" w:eastAsia="en-CA"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23</Pages>
  <Words>2664</Words>
  <Characters>15190</Characters>
  <Lines>126</Lines>
  <Paragraphs>35</Paragraphs>
  <ScaleCrop>false</ScaleCrop>
  <LinksUpToDate>false</LinksUpToDate>
  <CharactersWithSpaces>17819</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2021-04-06T17:52:00Z</dcterms:created>
  <dc:creator>gkb</dc:creator>
  <cp:lastModifiedBy>mac</cp:lastModifiedBy>
  <dcterms:modified xsi:type="dcterms:W3CDTF">2021-06-02T18:58:11Z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