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230AF" w14:textId="58C1DCE9" w:rsidR="00100E37" w:rsidRPr="00E5593C" w:rsidRDefault="00100E37">
      <w:pPr>
        <w:rPr>
          <w:lang w:val="en-US"/>
        </w:rPr>
      </w:pPr>
      <w:r w:rsidRPr="00E5593C">
        <w:rPr>
          <w:lang w:val="en-US"/>
        </w:rPr>
        <w:t>Supplementary material</w:t>
      </w:r>
    </w:p>
    <w:p w14:paraId="2044B954" w14:textId="07868776" w:rsidR="00100E37" w:rsidRPr="00E5593C" w:rsidRDefault="00100E37">
      <w:pPr>
        <w:rPr>
          <w:lang w:val="en-US"/>
        </w:rPr>
      </w:pPr>
    </w:p>
    <w:p w14:paraId="57F262EA" w14:textId="0A3AC967" w:rsidR="00100E37" w:rsidRPr="00525B5E" w:rsidRDefault="00100E37" w:rsidP="00100E37">
      <w:pPr>
        <w:spacing w:line="360" w:lineRule="auto"/>
        <w:jc w:val="both"/>
        <w:rPr>
          <w:rFonts w:cstheme="minorHAnsi"/>
          <w:i/>
          <w:u w:val="single"/>
          <w:lang w:val="en-GB"/>
        </w:rPr>
      </w:pPr>
      <w:r w:rsidRPr="00525B5E">
        <w:rPr>
          <w:rFonts w:cstheme="minorHAnsi"/>
          <w:i/>
          <w:u w:val="single"/>
          <w:lang w:val="en-GB"/>
        </w:rPr>
        <w:t>Mitochondrial oxygen consumption</w:t>
      </w:r>
      <w:r w:rsidR="00655561">
        <w:rPr>
          <w:rFonts w:cstheme="minorHAnsi"/>
          <w:i/>
          <w:u w:val="single"/>
          <w:lang w:val="en-GB"/>
        </w:rPr>
        <w:t xml:space="preserve"> (Seahorse)</w:t>
      </w:r>
    </w:p>
    <w:p w14:paraId="08C98453" w14:textId="5C7AC27C" w:rsidR="00100E37" w:rsidRDefault="00100E37" w:rsidP="00100E37">
      <w:pPr>
        <w:spacing w:line="360" w:lineRule="auto"/>
        <w:jc w:val="both"/>
        <w:outlineLvl w:val="0"/>
        <w:rPr>
          <w:rFonts w:cstheme="minorHAnsi"/>
          <w:lang w:val="en-GB"/>
        </w:rPr>
      </w:pPr>
      <w:r w:rsidRPr="00525B5E">
        <w:rPr>
          <w:rFonts w:cstheme="minorHAnsi"/>
          <w:lang w:val="en-GB"/>
        </w:rPr>
        <w:tab/>
        <w:t xml:space="preserve">Oxygen consumption rates (OCRs) were measured with Agilent Seahorse XF24 Analyzer </w:t>
      </w:r>
      <w:proofErr w:type="spellStart"/>
      <w:r w:rsidRPr="00525B5E">
        <w:rPr>
          <w:rFonts w:cstheme="minorHAnsi"/>
          <w:lang w:val="en-GB"/>
        </w:rPr>
        <w:t>Mitostress</w:t>
      </w:r>
      <w:proofErr w:type="spellEnd"/>
      <w:r w:rsidRPr="00525B5E">
        <w:rPr>
          <w:rFonts w:cstheme="minorHAnsi"/>
          <w:lang w:val="en-GB"/>
        </w:rPr>
        <w:t xml:space="preserve"> Test (Seahorse Bioscience, </w:t>
      </w:r>
      <w:hyperlink r:id="rId4" w:tgtFrame="pmc_ext" w:history="1">
        <w:r w:rsidRPr="00525B5E">
          <w:rPr>
            <w:rFonts w:cstheme="minorHAnsi"/>
            <w:lang w:val="en-GB"/>
          </w:rPr>
          <w:t>www.seahorsebio.com</w:t>
        </w:r>
      </w:hyperlink>
      <w:r w:rsidRPr="00525B5E">
        <w:rPr>
          <w:rFonts w:cstheme="minorHAnsi"/>
          <w:lang w:val="en-GB"/>
        </w:rPr>
        <w:t>), according to manufacturer’s protocol. Briefly, 30</w:t>
      </w:r>
      <w:r w:rsidR="00E5593C">
        <w:rPr>
          <w:rFonts w:cstheme="minorHAnsi"/>
          <w:lang w:val="en-GB"/>
        </w:rPr>
        <w:t>,</w:t>
      </w:r>
      <w:r w:rsidRPr="00525B5E">
        <w:rPr>
          <w:rFonts w:cstheme="minorHAnsi"/>
          <w:lang w:val="en-GB"/>
        </w:rPr>
        <w:t>000-35</w:t>
      </w:r>
      <w:r w:rsidR="00E5593C">
        <w:rPr>
          <w:rFonts w:cstheme="minorHAnsi"/>
          <w:lang w:val="en-GB"/>
        </w:rPr>
        <w:t>,</w:t>
      </w:r>
      <w:r w:rsidRPr="00525B5E">
        <w:rPr>
          <w:rFonts w:cstheme="minorHAnsi"/>
          <w:lang w:val="en-GB"/>
        </w:rPr>
        <w:t xml:space="preserve">000 fibroblasts/well were seeded by quadruplicate in customized 24-well Seahorse cell culture plates and kept overnight in 250 µl of </w:t>
      </w:r>
      <w:r>
        <w:rPr>
          <w:rFonts w:cstheme="minorHAnsi"/>
          <w:lang w:val="en-GB"/>
        </w:rPr>
        <w:t>either 25mM or 5mM glucose</w:t>
      </w:r>
      <w:r w:rsidRPr="00525B5E">
        <w:rPr>
          <w:rFonts w:cstheme="minorHAnsi"/>
          <w:lang w:val="en-GB"/>
        </w:rPr>
        <w:t xml:space="preserve"> medium. Growth medium was then removed, and wells were washed once with Seahorse XF Base Medium (Seahorse Bioscience) containing 10 mM G</w:t>
      </w:r>
      <w:r>
        <w:rPr>
          <w:rFonts w:cstheme="minorHAnsi"/>
          <w:lang w:val="en-GB"/>
        </w:rPr>
        <w:t>lucose</w:t>
      </w:r>
      <w:r w:rsidRPr="00525B5E">
        <w:rPr>
          <w:rFonts w:cstheme="minorHAnsi"/>
          <w:lang w:val="en-GB"/>
        </w:rPr>
        <w:t>, 1 mM Sodium Pyruvate and 1 mM Glutamine. Plates were incubated in this media for 30 min at 37 °C without CO</w:t>
      </w:r>
      <w:r w:rsidRPr="00525B5E">
        <w:rPr>
          <w:rFonts w:cstheme="minorHAnsi"/>
          <w:vertAlign w:val="subscript"/>
          <w:lang w:val="en-GB"/>
        </w:rPr>
        <w:t>2</w:t>
      </w:r>
      <w:r>
        <w:rPr>
          <w:rFonts w:cstheme="minorHAnsi"/>
          <w:vertAlign w:val="subscript"/>
          <w:lang w:val="en-GB"/>
        </w:rPr>
        <w:t>.</w:t>
      </w:r>
      <w:r w:rsidRPr="00525B5E">
        <w:rPr>
          <w:rFonts w:cstheme="minorHAnsi"/>
          <w:lang w:val="en-GB"/>
        </w:rPr>
        <w:t xml:space="preserve"> The bioenergetic profile was measured obtaining the OCRs under basal condition</w:t>
      </w:r>
      <w:r w:rsidR="00E5593C">
        <w:rPr>
          <w:rFonts w:cstheme="minorHAnsi"/>
          <w:lang w:val="en-GB"/>
        </w:rPr>
        <w:t>s</w:t>
      </w:r>
      <w:r w:rsidRPr="00525B5E">
        <w:rPr>
          <w:rFonts w:cstheme="minorHAnsi"/>
          <w:lang w:val="en-GB"/>
        </w:rPr>
        <w:t xml:space="preserve"> and after the addition of oligomycin, carbonyl cyanide-4-(trifluoromethoxy) phenylhydrazone (</w:t>
      </w:r>
      <w:r w:rsidR="00E5593C">
        <w:rPr>
          <w:rFonts w:cstheme="minorHAnsi"/>
          <w:lang w:val="en-GB"/>
        </w:rPr>
        <w:t>F</w:t>
      </w:r>
      <w:r w:rsidRPr="00525B5E">
        <w:rPr>
          <w:rFonts w:cstheme="minorHAnsi"/>
          <w:lang w:val="en-GB"/>
        </w:rPr>
        <w:t>CCP) and rotenone-</w:t>
      </w:r>
      <w:proofErr w:type="spellStart"/>
      <w:r w:rsidRPr="00525B5E">
        <w:rPr>
          <w:rFonts w:cstheme="minorHAnsi"/>
          <w:lang w:val="en-GB"/>
        </w:rPr>
        <w:t>antimicyn</w:t>
      </w:r>
      <w:proofErr w:type="spellEnd"/>
      <w:r w:rsidRPr="00525B5E">
        <w:rPr>
          <w:rFonts w:cstheme="minorHAnsi"/>
          <w:lang w:val="en-GB"/>
        </w:rPr>
        <w:t xml:space="preserve"> (all reagents from Sigma-Aldrich). OCR values were normalized to total cell protein content and reported as </w:t>
      </w:r>
      <w:proofErr w:type="spellStart"/>
      <w:r w:rsidRPr="00525B5E">
        <w:rPr>
          <w:rFonts w:cstheme="minorHAnsi"/>
          <w:lang w:val="en-GB"/>
        </w:rPr>
        <w:t>pmol</w:t>
      </w:r>
      <w:proofErr w:type="spellEnd"/>
      <w:r w:rsidRPr="00525B5E">
        <w:rPr>
          <w:rFonts w:cstheme="minorHAnsi"/>
          <w:lang w:val="en-GB"/>
        </w:rPr>
        <w:t>/min*ug protein.</w:t>
      </w:r>
    </w:p>
    <w:p w14:paraId="47FB8537" w14:textId="52F083F2" w:rsidR="00655561" w:rsidRPr="00525B5E" w:rsidRDefault="00655561" w:rsidP="00655561">
      <w:pPr>
        <w:spacing w:line="360" w:lineRule="auto"/>
        <w:ind w:firstLine="720"/>
        <w:jc w:val="both"/>
        <w:rPr>
          <w:rFonts w:cstheme="minorHAnsi"/>
          <w:lang w:val="en-GB"/>
        </w:rPr>
      </w:pPr>
      <w:proofErr w:type="spellStart"/>
      <w:r>
        <w:rPr>
          <w:rFonts w:cstheme="minorHAnsi"/>
          <w:lang w:val="en-GB"/>
        </w:rPr>
        <w:t>Mitoworking</w:t>
      </w:r>
      <w:proofErr w:type="spellEnd"/>
      <w:r>
        <w:rPr>
          <w:rFonts w:cstheme="minorHAnsi"/>
          <w:lang w:val="en-GB"/>
        </w:rPr>
        <w:t xml:space="preserve"> capacity was measured as the ratio between the Basal Respiration and the Maximal respiration</w:t>
      </w:r>
      <w:r w:rsidR="00E5593C">
        <w:rPr>
          <w:rFonts w:cstheme="minorHAnsi"/>
          <w:lang w:val="en-GB"/>
        </w:rPr>
        <w:t>.</w:t>
      </w:r>
    </w:p>
    <w:p w14:paraId="35E62B69" w14:textId="77777777" w:rsidR="00100E37" w:rsidRPr="00525B5E" w:rsidRDefault="00100E37" w:rsidP="00100E37">
      <w:pPr>
        <w:spacing w:line="360" w:lineRule="auto"/>
        <w:jc w:val="both"/>
        <w:outlineLvl w:val="0"/>
        <w:rPr>
          <w:rFonts w:cstheme="minorHAnsi"/>
          <w:lang w:val="en-GB"/>
        </w:rPr>
      </w:pPr>
      <w:r w:rsidRPr="00525B5E">
        <w:rPr>
          <w:rFonts w:cstheme="minorHAnsi"/>
          <w:lang w:val="en-GB"/>
        </w:rPr>
        <w:tab/>
        <w:t>Bioenergetic Health Index (BHI) was calculated to assess the mitochondrial profile of the subjects studied by the following equation</w:t>
      </w:r>
      <w:r w:rsidRPr="00525B5E">
        <w:rPr>
          <w:rFonts w:cstheme="minorHAnsi"/>
          <w:lang w:val="en-GB"/>
        </w:rPr>
        <w:fldChar w:fldCharType="begin" w:fldLock="1"/>
      </w:r>
      <w:r w:rsidRPr="00525B5E">
        <w:rPr>
          <w:rFonts w:cstheme="minorHAnsi"/>
          <w:lang w:val="en-GB"/>
        </w:rPr>
        <w:instrText>ADDIN CSL_CITATION {"citationItems":[{"id":"ITEM-1","itemData":{"DOI":"10.1042/CS20140101","ISSN":"0143-5221","PMID":"24895057","abstract":"Bioenergetics has become central to our understanding of pathological mechanisms, the development of new therapeutic strategies and as a biomarker for disease progression in neurodegeneration, diabetes, cancer and cardiovascular disease. A key concept is that the mitochondrion can act as the 'canary in the coal mine' by serving as an early warning of bioenergetic crisis in patient populations. We propose that new clinical tests to monitor changes in bioenergetics in patient populations are needed to take advantage of the early and sensitive ability of bioenergetics to determine severity and progression in complex and multifactorial diseases. With the recent development of high-throughput assays to measure cellular energetic function in the small number of cells that can be isolated from human blood these clinical tests are now feasible. We have shown that the sequential addition of well-characterized inhibitors of oxidative phosphorylation allows a bioenergetic profile to be measured in cells isolated from normal or pathological samples. From these data we propose that a single value-the Bioenergetic Health Index (BHI)-can be calculated to represent the patient's composite mitochondrial profile for a selected cell type. In the present Hypothesis paper, we discuss how BHI could serve as a dynamic index of bioenergetic health and how it can be measured in platelets and leucocytes. We propose that, ultimately, BHI has the potential to be a new biomarker for assessing patient health with both prognostic and diagnostic value.","author":[{"dropping-particle":"","family":"Chacko","given":"Balu K.","non-dropping-particle":"","parse-names":false,"suffix":""},{"dropping-particle":"","family":"Kramer","given":"Philip A.","non-dropping-particle":"","parse-names":false,"suffix":""},{"dropping-particle":"","family":"Ravi","given":"Saranya","non-dropping-particle":"","parse-names":false,"suffix":""},{"dropping-particle":"","family":"Benavides","given":"Gloria A.","non-dropping-particle":"","parse-names":false,"suffix":""},{"dropping-particle":"","family":"Mitchell","given":"Tanecia","non-dropping-particle":"","parse-names":false,"suffix":""},{"dropping-particle":"","family":"Dranka","given":"Brian P.","non-dropping-particle":"","parse-names":false,"suffix":""},{"dropping-particle":"","family":"Ferrick","given":"David","non-dropping-particle":"","parse-names":false,"suffix":""},{"dropping-particle":"","family":"Singal","given":"Ashwani K.","non-dropping-particle":"","parse-names":false,"suffix":""},{"dropping-particle":"","family":"Ballinger","given":"Scott W.","non-dropping-particle":"","parse-names":false,"suffix":""},{"dropping-particle":"","family":"Bailey","given":"Shannon M.","non-dropping-particle":"","parse-names":false,"suffix":""},{"dropping-particle":"","family":"Hardy","given":"Robert W.","non-dropping-particle":"","parse-names":false,"suffix":""},{"dropping-particle":"","family":"Zhang","given":"Jianhua","non-dropping-particle":"","parse-names":false,"suffix":""},{"dropping-particle":"","family":"Zhi","given":"Degui","non-dropping-particle":"","parse-names":false,"suffix":""},{"dropping-particle":"","family":"Darley-Usmar","given":"Victor M.","non-dropping-particle":"","parse-names":false,"suffix":""}],"container-title":"Clinical Science","id":"ITEM-1","issue":"6","issued":{"date-parts":[["2014","9","1"]]},"page":"367-373","title":"The Bioenergetic Health Index: a new concept in mitochondrial translational research","type":"article-journal","volume":"127"},"uris":["http://www.mendeley.com/documents/?uuid=6f320f40-496a-336e-bb96-8efd3f80a118"]}],"mendeley":{"formattedCitation":"&lt;sup&gt;25&lt;/sup&gt;","plainTextFormattedCitation":"25","previouslyFormattedCitation":"&lt;sup&gt;25&lt;/sup&gt;"},"properties":{"noteIndex":0},"schema":"https://github.com/citation-style-language/schema/raw/master/csl-citation.json"}</w:instrText>
      </w:r>
      <w:r w:rsidRPr="00525B5E">
        <w:rPr>
          <w:rFonts w:cstheme="minorHAnsi"/>
          <w:lang w:val="en-GB"/>
        </w:rPr>
        <w:fldChar w:fldCharType="separate"/>
      </w:r>
      <w:r w:rsidRPr="00525B5E">
        <w:rPr>
          <w:rFonts w:cstheme="minorHAnsi"/>
          <w:noProof/>
          <w:vertAlign w:val="superscript"/>
          <w:lang w:val="en-GB"/>
        </w:rPr>
        <w:t>25</w:t>
      </w:r>
      <w:r w:rsidRPr="00525B5E">
        <w:rPr>
          <w:rFonts w:cstheme="minorHAnsi"/>
          <w:lang w:val="en-GB"/>
        </w:rPr>
        <w:fldChar w:fldCharType="end"/>
      </w:r>
      <w:r w:rsidRPr="00525B5E">
        <w:rPr>
          <w:rFonts w:cstheme="minorHAnsi"/>
          <w:lang w:val="en-GB"/>
        </w:rPr>
        <w:t>:</w:t>
      </w:r>
    </w:p>
    <w:p w14:paraId="5A1C2B04" w14:textId="77777777" w:rsidR="00100E37" w:rsidRPr="00525B5E" w:rsidRDefault="00100E37" w:rsidP="00100E37">
      <w:pPr>
        <w:spacing w:line="360" w:lineRule="auto"/>
        <w:jc w:val="both"/>
        <w:outlineLvl w:val="0"/>
        <w:rPr>
          <w:rFonts w:cstheme="minorHAnsi"/>
          <w:lang w:val="en-GB"/>
        </w:rPr>
      </w:pPr>
    </w:p>
    <w:p w14:paraId="05AB2A6C" w14:textId="77777777" w:rsidR="00100E37" w:rsidRPr="00525B5E" w:rsidRDefault="005F2942" w:rsidP="00100E37">
      <w:pPr>
        <w:spacing w:line="360" w:lineRule="auto"/>
        <w:jc w:val="both"/>
        <w:outlineLvl w:val="0"/>
        <w:rPr>
          <w:rFonts w:cstheme="minorHAnsi"/>
          <w:lang w:val="en-GB"/>
        </w:rPr>
      </w:pPr>
      <m:oMathPara>
        <m:oMath>
          <m:f>
            <m:fPr>
              <m:ctrlPr>
                <w:rPr>
                  <w:rFonts w:ascii="Cambria Math" w:hAnsi="Cambria Math" w:cstheme="minorHAnsi"/>
                  <w:i/>
                  <w:lang w:val="en-GB"/>
                </w:rPr>
              </m:ctrlPr>
            </m:fPr>
            <m:num>
              <m:r>
                <w:rPr>
                  <w:rFonts w:ascii="Cambria Math" w:hAnsi="Cambria Math" w:cstheme="minorHAnsi"/>
                  <w:lang w:val="en-GB"/>
                </w:rPr>
                <m:t>(Spare respiratory capacity) * (ATP production)</m:t>
              </m:r>
            </m:num>
            <m:den>
              <m:r>
                <w:rPr>
                  <w:rFonts w:ascii="Cambria Math" w:hAnsi="Cambria Math" w:cstheme="minorHAnsi"/>
                  <w:lang w:val="en-GB"/>
                </w:rPr>
                <m:t>(Non-mitochondrial-Mitochondrial Respiration) * (Proton Leak)</m:t>
              </m:r>
            </m:den>
          </m:f>
        </m:oMath>
      </m:oMathPara>
    </w:p>
    <w:p w14:paraId="4175F170" w14:textId="606CF094" w:rsidR="00655561" w:rsidRDefault="00655561" w:rsidP="00100E37">
      <w:pPr>
        <w:spacing w:line="360" w:lineRule="auto"/>
        <w:jc w:val="both"/>
        <w:rPr>
          <w:rFonts w:cstheme="minorHAnsi"/>
          <w:lang w:val="en-GB"/>
        </w:rPr>
      </w:pPr>
    </w:p>
    <w:p w14:paraId="4E5642EB" w14:textId="0DC11A11" w:rsidR="005F2942" w:rsidRDefault="005F2942" w:rsidP="00100E37">
      <w:pPr>
        <w:spacing w:line="360" w:lineRule="auto"/>
        <w:jc w:val="both"/>
        <w:rPr>
          <w:rFonts w:cstheme="minorHAnsi"/>
          <w:lang w:val="en-GB"/>
        </w:rPr>
      </w:pPr>
      <w:r>
        <w:rPr>
          <w:rFonts w:cstheme="minorHAnsi"/>
          <w:lang w:val="en-GB"/>
        </w:rPr>
        <w:t>Despite using identical cell number for all analyses, r</w:t>
      </w:r>
      <w:r w:rsidRPr="00E5593C">
        <w:rPr>
          <w:rFonts w:cstheme="minorHAnsi"/>
          <w:lang w:val="en-GB"/>
        </w:rPr>
        <w:t xml:space="preserve">esults were </w:t>
      </w:r>
      <w:r>
        <w:rPr>
          <w:rFonts w:cstheme="minorHAnsi"/>
          <w:lang w:val="en-GB"/>
        </w:rPr>
        <w:t xml:space="preserve">additionally </w:t>
      </w:r>
      <w:r w:rsidRPr="00E5593C">
        <w:rPr>
          <w:rFonts w:cstheme="minorHAnsi"/>
          <w:lang w:val="en-GB"/>
        </w:rPr>
        <w:t xml:space="preserve">normalized by </w:t>
      </w:r>
      <w:r>
        <w:rPr>
          <w:rFonts w:cstheme="minorHAnsi"/>
          <w:lang w:val="en-GB"/>
        </w:rPr>
        <w:t>total protein an</w:t>
      </w:r>
      <w:r w:rsidRPr="00E5593C">
        <w:rPr>
          <w:rFonts w:cstheme="minorHAnsi"/>
          <w:lang w:val="en-GB"/>
        </w:rPr>
        <w:t xml:space="preserve">d mitochondrial content through the CS activity, and were expressed as </w:t>
      </w:r>
      <w:proofErr w:type="spellStart"/>
      <w:r w:rsidRPr="00E5593C">
        <w:rPr>
          <w:rFonts w:cstheme="minorHAnsi"/>
          <w:lang w:val="en-GB"/>
        </w:rPr>
        <w:t>pmol</w:t>
      </w:r>
      <w:proofErr w:type="spellEnd"/>
      <w:r w:rsidRPr="00E5593C">
        <w:rPr>
          <w:rFonts w:cstheme="minorHAnsi"/>
          <w:lang w:val="en-GB"/>
        </w:rPr>
        <w:t xml:space="preserve"> O</w:t>
      </w:r>
      <w:r w:rsidRPr="005F2942">
        <w:rPr>
          <w:rFonts w:cstheme="minorHAnsi"/>
          <w:vertAlign w:val="subscript"/>
          <w:lang w:val="en-GB"/>
        </w:rPr>
        <w:t>2</w:t>
      </w:r>
      <w:r w:rsidRPr="00E5593C">
        <w:rPr>
          <w:rFonts w:cstheme="minorHAnsi"/>
          <w:lang w:val="en-GB"/>
        </w:rPr>
        <w:t>/min*</w:t>
      </w:r>
      <w:r>
        <w:rPr>
          <w:rFonts w:cstheme="minorHAnsi"/>
          <w:lang w:val="en-GB"/>
        </w:rPr>
        <w:t>µ</w:t>
      </w:r>
      <w:r w:rsidRPr="00E5593C">
        <w:rPr>
          <w:rFonts w:cstheme="minorHAnsi"/>
          <w:lang w:val="en-GB"/>
        </w:rPr>
        <w:t>g protein</w:t>
      </w:r>
      <w:r>
        <w:rPr>
          <w:rFonts w:cstheme="minorHAnsi"/>
          <w:lang w:val="en-GB"/>
        </w:rPr>
        <w:t>*CS activity</w:t>
      </w:r>
      <w:r w:rsidRPr="00E5593C">
        <w:rPr>
          <w:rFonts w:cstheme="minorHAnsi"/>
          <w:lang w:val="en-GB"/>
        </w:rPr>
        <w:t>.</w:t>
      </w:r>
    </w:p>
    <w:p w14:paraId="4411B83F" w14:textId="77777777" w:rsidR="005F2942" w:rsidRPr="00525B5E" w:rsidRDefault="005F2942" w:rsidP="00100E37">
      <w:pPr>
        <w:spacing w:line="360" w:lineRule="auto"/>
        <w:jc w:val="both"/>
        <w:rPr>
          <w:rFonts w:cstheme="minorHAnsi"/>
          <w:lang w:val="en-GB"/>
        </w:rPr>
      </w:pPr>
      <w:bookmarkStart w:id="0" w:name="_GoBack"/>
      <w:bookmarkEnd w:id="0"/>
    </w:p>
    <w:p w14:paraId="3773859F" w14:textId="5F7F0D58" w:rsidR="00137620" w:rsidRPr="00E5593C" w:rsidRDefault="00137620" w:rsidP="00137620">
      <w:pPr>
        <w:spacing w:line="360" w:lineRule="auto"/>
        <w:ind w:right="-1"/>
        <w:contextualSpacing/>
        <w:jc w:val="both"/>
        <w:rPr>
          <w:rFonts w:cstheme="minorHAnsi"/>
          <w:i/>
          <w:iCs/>
          <w:u w:val="single"/>
          <w:lang w:val="en-GB"/>
        </w:rPr>
      </w:pPr>
      <w:r w:rsidRPr="00E5593C">
        <w:rPr>
          <w:rFonts w:cstheme="minorHAnsi"/>
          <w:i/>
          <w:iCs/>
          <w:u w:val="single"/>
          <w:lang w:val="en-GB"/>
        </w:rPr>
        <w:t>Mitochondrial oxygen consumption</w:t>
      </w:r>
      <w:r w:rsidR="00655561" w:rsidRPr="00E5593C">
        <w:rPr>
          <w:rFonts w:cstheme="minorHAnsi"/>
          <w:i/>
          <w:iCs/>
          <w:u w:val="single"/>
          <w:lang w:val="en-GB"/>
        </w:rPr>
        <w:t xml:space="preserve"> (Oroboros)</w:t>
      </w:r>
    </w:p>
    <w:p w14:paraId="65D9F0D0" w14:textId="3F5441F6" w:rsidR="00137620" w:rsidRPr="00E5593C" w:rsidRDefault="00137620" w:rsidP="00137620">
      <w:pPr>
        <w:spacing w:line="360" w:lineRule="auto"/>
        <w:ind w:right="-1"/>
        <w:contextualSpacing/>
        <w:jc w:val="both"/>
        <w:rPr>
          <w:rFonts w:cstheme="minorHAnsi"/>
          <w:lang w:val="en-GB"/>
        </w:rPr>
      </w:pPr>
      <w:r w:rsidRPr="00E5593C">
        <w:rPr>
          <w:rFonts w:cstheme="minorHAnsi"/>
          <w:lang w:val="en-GB"/>
        </w:rPr>
        <w:tab/>
        <w:t xml:space="preserve">Mitochondrial respiration </w:t>
      </w:r>
      <w:r w:rsidR="00E5593C">
        <w:rPr>
          <w:rFonts w:cstheme="minorHAnsi"/>
          <w:lang w:val="en-GB"/>
        </w:rPr>
        <w:t>was measured in parallel by</w:t>
      </w:r>
      <w:r w:rsidRPr="00E5593C">
        <w:rPr>
          <w:rFonts w:cstheme="minorHAnsi"/>
          <w:lang w:val="en-GB"/>
        </w:rPr>
        <w:t xml:space="preserve"> high-resolution respirometry using Oroboros™ Oxygraph-2K</w:t>
      </w:r>
      <w:r w:rsidRPr="00E5593C">
        <w:rPr>
          <w:rFonts w:cstheme="minorHAnsi"/>
          <w:lang w:val="en-GB"/>
        </w:rPr>
        <w:sym w:font="Symbol" w:char="F0D2"/>
      </w:r>
      <w:r w:rsidRPr="00E5593C">
        <w:rPr>
          <w:rFonts w:cstheme="minorHAnsi"/>
          <w:lang w:val="en-GB"/>
        </w:rPr>
        <w:t xml:space="preserve"> (Innsbruck, Austria) in permeabilized fibroblasts, following manufacturer protocols </w:t>
      </w:r>
      <w:r w:rsidRPr="00E5593C">
        <w:rPr>
          <w:rFonts w:cstheme="minorHAnsi"/>
          <w:lang w:val="en-GB"/>
        </w:rPr>
        <w:fldChar w:fldCharType="begin" w:fldLock="1"/>
      </w:r>
      <w:r w:rsidRPr="00E5593C">
        <w:rPr>
          <w:rFonts w:cstheme="minorHAnsi"/>
          <w:lang w:val="en-GB"/>
        </w:rPr>
        <w:instrText>ADDIN CSL_CITATION {"citationItems":[{"id":"ITEM-1","itemData":{"DOI":"10.1007/978-1-61779-382-0_3","ISSN":"1940-6029","PMID":"22057559","abstract":"Protocols for high-resolution respirometry (HRR) of intact cells, permeabilized cells, and permeabilized muscle fibers offer sensitive diagnostic tests of integrated mitochondrial function using standard cell culture techniques and small needle biopsies of muscle. Multiple substrate-uncoupler-inhibitor titration (SUIT) protocols for analysis of oxidative phosphorylation improve our understanding of mitochondrial respiratory control and the pathophysiology of mitochondrial diseases. Respiratory states are defined in functional terms to account for the network of metabolic interactions in complex SUIT protocols with stepwise modulation of coupling and substrate control. A regulated degree of intrinsic uncoupling is a hallmark of oxidative phosphorylation, whereas pathological and toxicological dyscoupling is evaluated as a mitochondrial defect. The noncoupled state of maximum respiration is experimentally induced by titration of established uncouplers (FCCP, DNP) to collapse the proton gradient across the mitochondrial inner membrane and measure the capacity of the electron transfer system (ETS, open-circuit operation of respiration). Intrinsic uncoupling and dyscoupling are evaluated as the flux control ratio between nonphosphorylating LEAK respiration (electron flow coupled to proton pumping to compensate for proton leaks) and ETS capacity. If OXPHOS capacity (maximally ADP-stimulated oxygen flux) is less than ETS capacity, the phosphorylation system contributes to flux control. Physiological Complex I + II substrate combinations are required to reconstitute TCA cycle function. This supports maximum ETS and OXPHOS capacities, due to the additive effect of multiple electron supply pathways converging at the Q-junction. Substrate control with electron entry separately through Complex I (pyruvate + malate or glutamate + malate) or Complex II (succinate + rotenone) restricts ETS capacity and artificially enhances flux control upstream of the Q-cycle, providing diagnostic information on specific branches of the ETS. Oxygen levels are maintained above air saturation in protocols with permeabilized muscle fibers to avoid experimental oxygen limitation of respiration. Standardized two-point calibration of the polarographic oxygen sensor (static sensor calibration), calibration of the sensor response time (dynamic sensor calibration), and evaluation of instrumental background oxygen flux (systemic flux compensation) provide the unique experimental basis for high…","author":[{"dropping-particle":"","family":"Pesta","given":"Dominik","non-dropping-particle":"","parse-names":false,"suffix":""},{"dropping-particle":"","family":"Gnaiger","given":"Erich","non-dropping-particle":"","parse-names":false,"suffix":""}],"container-title":"Methods in molecular biology (Clifton, N.J.)","id":"ITEM-1","issued":{"date-parts":[["2012","1"]]},"page":"25-58","title":"High-resolution respirometry: OXPHOS protocols for human cells and permeabilized fibers from small biopsies of human muscle.","type":"article-journal","volume":"810"},"uris":["http://www.mendeley.com/documents/?uuid=ebc4a0c3-68b6-45e1-a2b7-117e00e55e78"]}],"mendeley":{"formattedCitation":"(Pesta and Gnaiger 2012)","plainTextFormattedCitation":"(Pesta and Gnaiger 2012)","previouslyFormattedCitation":"[10]"},"properties":{"noteIndex":0},"schema":"https://github.com/citation-style-language/schema/raw/master/csl-citation.json"}</w:instrText>
      </w:r>
      <w:r w:rsidRPr="00E5593C">
        <w:rPr>
          <w:rFonts w:cstheme="minorHAnsi"/>
          <w:lang w:val="en-GB"/>
        </w:rPr>
        <w:fldChar w:fldCharType="separate"/>
      </w:r>
      <w:r w:rsidRPr="00E5593C">
        <w:rPr>
          <w:rFonts w:cstheme="minorHAnsi"/>
          <w:lang w:val="en-GB"/>
        </w:rPr>
        <w:t>(Pesta and Gnaiger 2012)</w:t>
      </w:r>
      <w:r w:rsidRPr="00E5593C">
        <w:rPr>
          <w:rFonts w:cstheme="minorHAnsi"/>
          <w:lang w:val="en-GB"/>
        </w:rPr>
        <w:fldChar w:fldCharType="end"/>
      </w:r>
      <w:r w:rsidRPr="00E5593C">
        <w:rPr>
          <w:rFonts w:cstheme="minorHAnsi"/>
          <w:lang w:val="en-GB"/>
        </w:rPr>
        <w:t>. Briefly, 1 million of living fibroblasts were obtained and resuspended in ice-cold respiration MiR05 medium (0.5 mM EGTA, 3 mM MgCl</w:t>
      </w:r>
      <w:r w:rsidRPr="00E5593C">
        <w:rPr>
          <w:rFonts w:cstheme="minorHAnsi"/>
          <w:vertAlign w:val="subscript"/>
          <w:lang w:val="en-GB"/>
        </w:rPr>
        <w:t>2</w:t>
      </w:r>
      <w:r w:rsidRPr="00E5593C">
        <w:rPr>
          <w:rFonts w:cstheme="minorHAnsi"/>
          <w:lang w:val="en-GB"/>
        </w:rPr>
        <w:t>, 60 mM K-</w:t>
      </w:r>
      <w:proofErr w:type="spellStart"/>
      <w:r w:rsidRPr="00E5593C">
        <w:rPr>
          <w:rFonts w:cstheme="minorHAnsi"/>
          <w:lang w:val="en-GB"/>
        </w:rPr>
        <w:t>lactobionate</w:t>
      </w:r>
      <w:proofErr w:type="spellEnd"/>
      <w:r w:rsidRPr="00E5593C">
        <w:rPr>
          <w:rFonts w:cstheme="minorHAnsi"/>
          <w:lang w:val="en-GB"/>
        </w:rPr>
        <w:t>, 20 mM taurine, 10 mM KH</w:t>
      </w:r>
      <w:r w:rsidRPr="00E5593C">
        <w:rPr>
          <w:rFonts w:cstheme="minorHAnsi"/>
          <w:vertAlign w:val="subscript"/>
          <w:lang w:val="en-GB"/>
        </w:rPr>
        <w:t>2</w:t>
      </w:r>
      <w:r w:rsidRPr="00E5593C">
        <w:rPr>
          <w:rFonts w:cstheme="minorHAnsi"/>
          <w:lang w:val="en-GB"/>
        </w:rPr>
        <w:t>PO</w:t>
      </w:r>
      <w:r w:rsidRPr="00E5593C">
        <w:rPr>
          <w:rFonts w:cstheme="minorHAnsi"/>
          <w:vertAlign w:val="subscript"/>
          <w:lang w:val="en-GB"/>
        </w:rPr>
        <w:t>4</w:t>
      </w:r>
      <w:r w:rsidRPr="00E5593C">
        <w:rPr>
          <w:rFonts w:cstheme="minorHAnsi"/>
          <w:lang w:val="en-GB"/>
        </w:rPr>
        <w:t xml:space="preserve">, 20 mM HEPES, 110 mM sucrose and </w:t>
      </w:r>
      <w:r w:rsidRPr="00E5593C">
        <w:rPr>
          <w:rFonts w:cstheme="minorHAnsi"/>
          <w:lang w:val="en-GB"/>
        </w:rPr>
        <w:lastRenderedPageBreak/>
        <w:t xml:space="preserve">0.1% BSA (w/v), pH 7.1). Data recording and analysis were performed using </w:t>
      </w:r>
      <w:proofErr w:type="spellStart"/>
      <w:r w:rsidRPr="00E5593C">
        <w:rPr>
          <w:rFonts w:cstheme="minorHAnsi"/>
          <w:lang w:val="en-GB"/>
        </w:rPr>
        <w:t>DatLab</w:t>
      </w:r>
      <w:proofErr w:type="spellEnd"/>
      <w:r w:rsidRPr="00E5593C">
        <w:rPr>
          <w:rFonts w:cstheme="minorHAnsi"/>
          <w:lang w:val="en-GB"/>
        </w:rPr>
        <w:t xml:space="preserve"> software v5.1.1.9 (</w:t>
      </w:r>
      <w:proofErr w:type="spellStart"/>
      <w:r w:rsidRPr="00E5593C">
        <w:rPr>
          <w:rFonts w:cstheme="minorHAnsi"/>
          <w:lang w:val="en-GB"/>
        </w:rPr>
        <w:t>Oroboros</w:t>
      </w:r>
      <w:proofErr w:type="spellEnd"/>
      <w:r w:rsidRPr="00E5593C">
        <w:rPr>
          <w:rFonts w:cstheme="minorHAnsi"/>
          <w:lang w:val="en-GB"/>
        </w:rPr>
        <w:t xml:space="preserve"> Instruments), following manufacturer’s protocol. The oxygen consumption was measured using the same procedure as in the S</w:t>
      </w:r>
      <w:r w:rsidR="00FF52BE" w:rsidRPr="00E5593C">
        <w:rPr>
          <w:rFonts w:cstheme="minorHAnsi"/>
          <w:lang w:val="en-GB"/>
        </w:rPr>
        <w:t>e</w:t>
      </w:r>
      <w:r w:rsidRPr="00E5593C">
        <w:rPr>
          <w:rFonts w:cstheme="minorHAnsi"/>
          <w:lang w:val="en-GB"/>
        </w:rPr>
        <w:t xml:space="preserve">ahorse </w:t>
      </w:r>
      <w:proofErr w:type="spellStart"/>
      <w:r w:rsidRPr="00E5593C">
        <w:rPr>
          <w:rFonts w:cstheme="minorHAnsi"/>
          <w:lang w:val="en-GB"/>
        </w:rPr>
        <w:t>Mitostress</w:t>
      </w:r>
      <w:proofErr w:type="spellEnd"/>
      <w:r w:rsidRPr="00E5593C">
        <w:rPr>
          <w:rFonts w:cstheme="minorHAnsi"/>
          <w:lang w:val="en-GB"/>
        </w:rPr>
        <w:t xml:space="preserve"> test: </w:t>
      </w:r>
      <w:proofErr w:type="spellStart"/>
      <w:r w:rsidRPr="00E5593C">
        <w:rPr>
          <w:rFonts w:cstheme="minorHAnsi"/>
          <w:lang w:val="en-GB"/>
        </w:rPr>
        <w:t>Firt</w:t>
      </w:r>
      <w:proofErr w:type="spellEnd"/>
      <w:r w:rsidRPr="00E5593C">
        <w:rPr>
          <w:rFonts w:cstheme="minorHAnsi"/>
          <w:lang w:val="en-GB"/>
        </w:rPr>
        <w:t xml:space="preserve"> measuring the “basal” respiration, followed by complete blockage of Complex V (</w:t>
      </w:r>
      <w:r w:rsidR="00655561" w:rsidRPr="00E5593C">
        <w:rPr>
          <w:rFonts w:cstheme="minorHAnsi"/>
          <w:lang w:val="en-GB"/>
        </w:rPr>
        <w:t xml:space="preserve">1uM </w:t>
      </w:r>
      <w:r w:rsidRPr="00E5593C">
        <w:rPr>
          <w:rFonts w:cstheme="minorHAnsi"/>
          <w:lang w:val="en-GB"/>
        </w:rPr>
        <w:t xml:space="preserve">Oligomycin) </w:t>
      </w:r>
      <w:r w:rsidR="00655561" w:rsidRPr="00E5593C">
        <w:rPr>
          <w:rFonts w:cstheme="minorHAnsi"/>
          <w:lang w:val="en-GB"/>
        </w:rPr>
        <w:t>titration with sequential doses of</w:t>
      </w:r>
      <w:r w:rsidRPr="00E5593C">
        <w:rPr>
          <w:rFonts w:cstheme="minorHAnsi"/>
          <w:lang w:val="en-GB"/>
        </w:rPr>
        <w:t xml:space="preserve"> </w:t>
      </w:r>
      <w:r w:rsidR="00655561" w:rsidRPr="00E5593C">
        <w:rPr>
          <w:rFonts w:cstheme="minorHAnsi"/>
          <w:lang w:val="en-GB"/>
        </w:rPr>
        <w:t xml:space="preserve">0.5uM </w:t>
      </w:r>
      <w:r w:rsidRPr="00E5593C">
        <w:rPr>
          <w:rFonts w:cstheme="minorHAnsi"/>
          <w:lang w:val="en-GB"/>
        </w:rPr>
        <w:t xml:space="preserve">FCCP </w:t>
      </w:r>
      <w:r w:rsidR="00655561" w:rsidRPr="00E5593C">
        <w:rPr>
          <w:rFonts w:cstheme="minorHAnsi"/>
          <w:lang w:val="en-GB"/>
        </w:rPr>
        <w:t xml:space="preserve">until a maximal respiration was achieved and finally blocking of Complex I and III </w:t>
      </w:r>
      <w:r w:rsidR="00E5593C">
        <w:rPr>
          <w:rFonts w:cstheme="minorHAnsi"/>
          <w:lang w:val="en-GB"/>
        </w:rPr>
        <w:t>(to measure non-mitochondrial oxygen consumption) through the addition of</w:t>
      </w:r>
      <w:r w:rsidR="00655561" w:rsidRPr="00E5593C">
        <w:rPr>
          <w:rFonts w:cstheme="minorHAnsi"/>
          <w:lang w:val="en-GB"/>
        </w:rPr>
        <w:t xml:space="preserve"> </w:t>
      </w:r>
      <w:r w:rsidRPr="00E5593C">
        <w:rPr>
          <w:rFonts w:cstheme="minorHAnsi"/>
          <w:lang w:val="en-GB"/>
        </w:rPr>
        <w:t xml:space="preserve">0.05uM </w:t>
      </w:r>
      <w:proofErr w:type="spellStart"/>
      <w:r w:rsidRPr="00E5593C">
        <w:rPr>
          <w:rFonts w:cstheme="minorHAnsi"/>
          <w:lang w:val="en-GB"/>
        </w:rPr>
        <w:t>rotetone</w:t>
      </w:r>
      <w:proofErr w:type="spellEnd"/>
      <w:r w:rsidRPr="00E5593C">
        <w:rPr>
          <w:rFonts w:cstheme="minorHAnsi"/>
          <w:lang w:val="en-GB"/>
        </w:rPr>
        <w:t xml:space="preserve"> + 0.05uM</w:t>
      </w:r>
      <w:r w:rsidR="00655561" w:rsidRPr="00E5593C">
        <w:rPr>
          <w:rFonts w:cstheme="minorHAnsi"/>
          <w:lang w:val="en-GB"/>
        </w:rPr>
        <w:t xml:space="preserve"> </w:t>
      </w:r>
      <w:proofErr w:type="spellStart"/>
      <w:r w:rsidR="00655561" w:rsidRPr="00E5593C">
        <w:rPr>
          <w:rFonts w:cstheme="minorHAnsi"/>
          <w:lang w:val="en-GB"/>
        </w:rPr>
        <w:t>antimycine</w:t>
      </w:r>
      <w:proofErr w:type="spellEnd"/>
      <w:r w:rsidR="00655561" w:rsidRPr="00E5593C">
        <w:rPr>
          <w:rFonts w:cstheme="minorHAnsi"/>
          <w:lang w:val="en-GB"/>
        </w:rPr>
        <w:t>.</w:t>
      </w:r>
    </w:p>
    <w:p w14:paraId="74F84369" w14:textId="77777777" w:rsidR="00137620" w:rsidRPr="00E5593C" w:rsidRDefault="00137620" w:rsidP="00137620">
      <w:pPr>
        <w:spacing w:line="360" w:lineRule="auto"/>
        <w:ind w:right="-1"/>
        <w:contextualSpacing/>
        <w:jc w:val="both"/>
        <w:rPr>
          <w:rFonts w:cstheme="minorHAnsi"/>
          <w:lang w:val="en-GB"/>
        </w:rPr>
      </w:pPr>
      <w:r w:rsidRPr="00E5593C">
        <w:rPr>
          <w:rFonts w:cstheme="minorHAnsi"/>
          <w:lang w:val="en-GB"/>
        </w:rPr>
        <w:tab/>
      </w:r>
    </w:p>
    <w:p w14:paraId="4F077955" w14:textId="589BC513" w:rsidR="00100E37" w:rsidRPr="005F2942" w:rsidRDefault="00137620" w:rsidP="005F2942">
      <w:pPr>
        <w:spacing w:line="360" w:lineRule="auto"/>
        <w:ind w:right="-1"/>
        <w:contextualSpacing/>
        <w:jc w:val="both"/>
        <w:rPr>
          <w:rFonts w:cstheme="minorHAnsi"/>
          <w:lang w:val="en-GB"/>
        </w:rPr>
      </w:pPr>
      <w:r w:rsidRPr="00E5593C">
        <w:rPr>
          <w:rFonts w:cstheme="minorHAnsi"/>
          <w:lang w:val="en-GB"/>
        </w:rPr>
        <w:tab/>
      </w:r>
      <w:r w:rsidR="005F2942">
        <w:rPr>
          <w:rFonts w:cstheme="minorHAnsi"/>
          <w:lang w:val="en-GB"/>
        </w:rPr>
        <w:t>Despite using identical cell number for all analyses, r</w:t>
      </w:r>
      <w:r w:rsidRPr="00E5593C">
        <w:rPr>
          <w:rFonts w:cstheme="minorHAnsi"/>
          <w:lang w:val="en-GB"/>
        </w:rPr>
        <w:t xml:space="preserve">esults were </w:t>
      </w:r>
      <w:r w:rsidR="005F2942">
        <w:rPr>
          <w:rFonts w:cstheme="minorHAnsi"/>
          <w:lang w:val="en-GB"/>
        </w:rPr>
        <w:t xml:space="preserve">additionally </w:t>
      </w:r>
      <w:r w:rsidRPr="00E5593C">
        <w:rPr>
          <w:rFonts w:cstheme="minorHAnsi"/>
          <w:lang w:val="en-GB"/>
        </w:rPr>
        <w:t xml:space="preserve">normalized by </w:t>
      </w:r>
      <w:r w:rsidR="005F2942">
        <w:rPr>
          <w:rFonts w:cstheme="minorHAnsi"/>
          <w:lang w:val="en-GB"/>
        </w:rPr>
        <w:t>total protein an</w:t>
      </w:r>
      <w:r w:rsidRPr="00E5593C">
        <w:rPr>
          <w:rFonts w:cstheme="minorHAnsi"/>
          <w:lang w:val="en-GB"/>
        </w:rPr>
        <w:t xml:space="preserve">d mitochondrial content through the CS activity, and were expressed as </w:t>
      </w:r>
      <w:proofErr w:type="spellStart"/>
      <w:r w:rsidRPr="00E5593C">
        <w:rPr>
          <w:rFonts w:cstheme="minorHAnsi"/>
          <w:lang w:val="en-GB"/>
        </w:rPr>
        <w:t>pmol</w:t>
      </w:r>
      <w:proofErr w:type="spellEnd"/>
      <w:r w:rsidRPr="00E5593C">
        <w:rPr>
          <w:rFonts w:cstheme="minorHAnsi"/>
          <w:lang w:val="en-GB"/>
        </w:rPr>
        <w:t xml:space="preserve"> O</w:t>
      </w:r>
      <w:r w:rsidRPr="005F2942">
        <w:rPr>
          <w:rFonts w:cstheme="minorHAnsi"/>
          <w:vertAlign w:val="subscript"/>
          <w:lang w:val="en-GB"/>
        </w:rPr>
        <w:t>2</w:t>
      </w:r>
      <w:r w:rsidRPr="00E5593C">
        <w:rPr>
          <w:rFonts w:cstheme="minorHAnsi"/>
          <w:lang w:val="en-GB"/>
        </w:rPr>
        <w:t>/min*</w:t>
      </w:r>
      <w:r w:rsidR="005F2942">
        <w:rPr>
          <w:rFonts w:cstheme="minorHAnsi"/>
          <w:lang w:val="en-GB"/>
        </w:rPr>
        <w:t>µ</w:t>
      </w:r>
      <w:r w:rsidRPr="00E5593C">
        <w:rPr>
          <w:rFonts w:cstheme="minorHAnsi"/>
          <w:lang w:val="en-GB"/>
        </w:rPr>
        <w:t>g protein</w:t>
      </w:r>
      <w:r w:rsidR="005F2942">
        <w:rPr>
          <w:rFonts w:cstheme="minorHAnsi"/>
          <w:lang w:val="en-GB"/>
        </w:rPr>
        <w:t>*CS activity</w:t>
      </w:r>
      <w:r w:rsidRPr="00E5593C">
        <w:rPr>
          <w:rFonts w:cstheme="minorHAnsi"/>
          <w:lang w:val="en-GB"/>
        </w:rPr>
        <w:t>.</w:t>
      </w:r>
    </w:p>
    <w:p w14:paraId="560C7864" w14:textId="77777777" w:rsidR="00137620" w:rsidRPr="005F2942" w:rsidRDefault="00137620">
      <w:pPr>
        <w:rPr>
          <w:lang w:val="es-ES"/>
        </w:rPr>
      </w:pPr>
    </w:p>
    <w:sectPr w:rsidR="00137620" w:rsidRPr="005F29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E37"/>
    <w:rsid w:val="00100E37"/>
    <w:rsid w:val="00137620"/>
    <w:rsid w:val="005F2942"/>
    <w:rsid w:val="00655561"/>
    <w:rsid w:val="00E5593C"/>
    <w:rsid w:val="00FF52B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CB6E4"/>
  <w15:chartTrackingRefBased/>
  <w15:docId w15:val="{B4065C9D-E39F-8F4F-8EC3-21C26CD5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100E37"/>
    <w:rPr>
      <w:rFonts w:ascii="Times New Roman" w:hAnsi="Times New Roman" w:cs="Times New Roman"/>
      <w:sz w:val="18"/>
      <w:szCs w:val="18"/>
    </w:rPr>
  </w:style>
  <w:style w:type="character" w:customStyle="1" w:styleId="TextdeglobusCar">
    <w:name w:val="Text de globus Car"/>
    <w:basedOn w:val="Lletraperdefectedelpargraf"/>
    <w:link w:val="Textdeglobus"/>
    <w:uiPriority w:val="99"/>
    <w:semiHidden/>
    <w:rsid w:val="00100E3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ahorseb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Juarez</dc:creator>
  <cp:keywords/>
  <dc:description/>
  <cp:lastModifiedBy>Gloria Garrabou Tornos</cp:lastModifiedBy>
  <cp:revision>4</cp:revision>
  <dcterms:created xsi:type="dcterms:W3CDTF">2020-07-29T19:56:00Z</dcterms:created>
  <dcterms:modified xsi:type="dcterms:W3CDTF">2020-07-30T11:36:00Z</dcterms:modified>
</cp:coreProperties>
</file>