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b/>
          <w:bCs w:val="0"/>
          <w:sz w:val="24"/>
          <w:szCs w:val="24"/>
          <w:lang w:val="en-US"/>
        </w:rPr>
      </w:pPr>
      <w:r>
        <w:rPr>
          <w:rFonts w:hint="default" w:ascii="Times New Roman" w:hAnsi="Times New Roman" w:eastAsia="宋体" w:cs="Times New Roman"/>
          <w:b/>
          <w:bCs w:val="0"/>
          <w:kern w:val="2"/>
          <w:sz w:val="24"/>
          <w:szCs w:val="24"/>
          <w:lang w:val="en-US" w:eastAsia="zh-CN" w:bidi="ar"/>
        </w:rPr>
        <w:t>Supplementary Methods</w:t>
      </w:r>
    </w:p>
    <w:p>
      <w:pPr>
        <w:numPr>
          <w:ilvl w:val="0"/>
          <w:numId w:val="0"/>
        </w:numPr>
        <w:spacing w:line="480" w:lineRule="auto"/>
        <w:ind w:leftChars="0"/>
        <w:rPr>
          <w:rFonts w:ascii="Times New Roman" w:hAnsi="Times New Roman" w:eastAsia="等线" w:cs="Times New Roman"/>
          <w:i/>
          <w:iCs/>
          <w:sz w:val="24"/>
        </w:rPr>
      </w:pPr>
    </w:p>
    <w:p>
      <w:pPr>
        <w:numPr>
          <w:ilvl w:val="0"/>
          <w:numId w:val="0"/>
        </w:numPr>
        <w:spacing w:line="480" w:lineRule="auto"/>
        <w:ind w:leftChars="0"/>
        <w:rPr>
          <w:rFonts w:ascii="Times New Roman" w:hAnsi="Times New Roman" w:eastAsia="等线" w:cs="Times New Roman"/>
          <w:i/>
          <w:iCs/>
          <w:sz w:val="24"/>
        </w:rPr>
      </w:pPr>
      <w:r>
        <w:rPr>
          <w:rFonts w:ascii="Times New Roman" w:hAnsi="Times New Roman" w:eastAsia="等线" w:cs="Times New Roman"/>
          <w:i/>
          <w:iCs/>
          <w:sz w:val="24"/>
        </w:rPr>
        <w:t>RNA sequencing</w:t>
      </w:r>
    </w:p>
    <w:p>
      <w:pPr>
        <w:spacing w:line="480" w:lineRule="auto"/>
        <w:ind w:firstLine="0" w:firstLineChars="0"/>
        <w:rPr>
          <w:rFonts w:ascii="Times New Roman" w:hAnsi="Times New Roman" w:eastAsia="等线" w:cs="Times New Roman"/>
          <w:sz w:val="24"/>
        </w:rPr>
      </w:pPr>
      <w:r>
        <w:rPr>
          <w:rFonts w:ascii="Times New Roman" w:hAnsi="Times New Roman" w:eastAsia="等线" w:cs="Times New Roman"/>
          <w:sz w:val="24"/>
        </w:rPr>
        <w:t>Six pairs of samples were used for RNA-sequencing. First, we characterized circRNA transcripts by sequencing analysis of ribosomal RNA and linear RNA. The total RNA was extracted by the Trizol method. Then, every sample was sequenced on Illumina HiSeq yielding an average of 42</w:t>
      </w:r>
      <w:r>
        <w:rPr>
          <w:rFonts w:ascii="Times New Roman" w:hAnsi="Times New Roman" w:eastAsia="宋体" w:cs="Times New Roman"/>
          <w:sz w:val="24"/>
        </w:rPr>
        <w:t>.</w:t>
      </w:r>
      <w:r>
        <w:rPr>
          <w:rFonts w:ascii="Times New Roman" w:hAnsi="Times New Roman" w:eastAsia="等线" w:cs="Times New Roman"/>
          <w:sz w:val="24"/>
        </w:rPr>
        <w:t xml:space="preserve">38 million reads, which were mapped to the human reference genome (GRCh38/hg38) by TopHat2 (v2.1.1). The CIRC explorer program (v2.2.3) was used with the fusion junctions obtained from TopHat2 to identify both the circularizing junction and the spliced sequence of circRNAs. The whole step of library construction and sequencing was performed at Shanghai Life genes Technology Co. Ltd. </w:t>
      </w:r>
    </w:p>
    <w:p/>
    <w:p>
      <w:pPr>
        <w:numPr>
          <w:ilvl w:val="0"/>
          <w:numId w:val="0"/>
        </w:numPr>
        <w:spacing w:line="480" w:lineRule="auto"/>
        <w:ind w:leftChars="0"/>
        <w:rPr>
          <w:rFonts w:ascii="Times New Roman" w:hAnsi="Times New Roman" w:eastAsia="等线" w:cs="Times New Roman"/>
          <w:i/>
          <w:iCs/>
          <w:sz w:val="24"/>
        </w:rPr>
      </w:pPr>
      <w:r>
        <w:rPr>
          <w:rFonts w:ascii="Times New Roman" w:hAnsi="Times New Roman" w:eastAsia="等线" w:cs="Times New Roman"/>
          <w:i/>
          <w:iCs/>
          <w:sz w:val="24"/>
        </w:rPr>
        <w:t>qRT-PCR validation for the expression of LIMD2</w:t>
      </w:r>
    </w:p>
    <w:p>
      <w:pPr>
        <w:spacing w:line="480" w:lineRule="auto"/>
        <w:ind w:firstLine="0" w:firstLineChars="0"/>
        <w:rPr>
          <w:rFonts w:ascii="Times New Roman" w:hAnsi="Times New Roman" w:eastAsia="等线" w:cs="Times New Roman"/>
          <w:sz w:val="24"/>
        </w:rPr>
      </w:pPr>
      <w:r>
        <w:rPr>
          <w:rFonts w:ascii="Times New Roman" w:hAnsi="Times New Roman" w:eastAsia="等线" w:cs="Times New Roman"/>
          <w:sz w:val="24"/>
        </w:rPr>
        <w:t xml:space="preserve">Quantitative reverse transcription-polymerase chain reaction (qRT-PCR) was applied to verify the expression of the target </w:t>
      </w:r>
      <w:r>
        <w:rPr>
          <w:rFonts w:ascii="Times New Roman" w:hAnsi="Times New Roman" w:eastAsia="等线" w:cs="Times New Roman"/>
          <w:i/>
          <w:iCs/>
          <w:sz w:val="24"/>
        </w:rPr>
        <w:t>LIMD2</w:t>
      </w:r>
      <w:r>
        <w:rPr>
          <w:rFonts w:ascii="Times New Roman" w:hAnsi="Times New Roman" w:eastAsia="等线" w:cs="Times New Roman"/>
          <w:sz w:val="24"/>
        </w:rPr>
        <w:t xml:space="preserve"> in 20 pairs of ECA and adjacent normal esophageal tissues. The primers of </w:t>
      </w:r>
      <w:r>
        <w:rPr>
          <w:rFonts w:ascii="Times New Roman" w:hAnsi="Times New Roman" w:eastAsia="等线" w:cs="Times New Roman"/>
          <w:i/>
          <w:iCs/>
          <w:sz w:val="24"/>
        </w:rPr>
        <w:t>LIMD2</w:t>
      </w:r>
      <w:r>
        <w:rPr>
          <w:rFonts w:ascii="Times New Roman" w:hAnsi="Times New Roman" w:eastAsia="等线" w:cs="Times New Roman"/>
          <w:sz w:val="24"/>
        </w:rPr>
        <w:t xml:space="preserve"> were purchased from BioSune (Shanghai, China) (Table S2).</w:t>
      </w:r>
      <w:r>
        <w:rPr>
          <w:rFonts w:ascii="Times New Roman" w:hAnsi="Times New Roman" w:eastAsia="等线" w:cs="Times New Roman"/>
          <w:color w:val="FF0000"/>
          <w:sz w:val="24"/>
        </w:rPr>
        <w:t xml:space="preserve"> </w:t>
      </w:r>
      <w:r>
        <w:rPr>
          <w:rFonts w:ascii="Times New Roman" w:hAnsi="Times New Roman" w:eastAsia="等线" w:cs="Times New Roman"/>
          <w:sz w:val="24"/>
        </w:rPr>
        <w:t>An RT</w:t>
      </w:r>
      <w:r>
        <w:rPr>
          <w:rFonts w:hint="eastAsia" w:ascii="Times New Roman" w:hAnsi="Times New Roman" w:eastAsia="等线" w:cs="Times New Roman"/>
          <w:sz w:val="24"/>
        </w:rPr>
        <w:t>Ⅲ</w:t>
      </w:r>
      <w:r>
        <w:rPr>
          <w:rFonts w:ascii="Times New Roman" w:hAnsi="Times New Roman" w:eastAsia="等线" w:cs="Times New Roman"/>
          <w:sz w:val="24"/>
        </w:rPr>
        <w:t xml:space="preserve"> All-in-One Mix with dsDNase (Monad Biotech Co. Ltd., Shanghai, China) was used to synthesize cDNA from 1 µg of total RNA. The qRT-PCR analyses were conducted on the Quant Studio 6 Flex qRT-PCR system (Applied Biosystems, Thermo Fisher Scientific Co. Ltd., US) using the Hieff ®qPCR SYBR® Green Master Mix, Low Rox (Yeasen, Biotechnology </w:t>
      </w:r>
      <w:bookmarkStart w:id="0" w:name="_Hlk67922422"/>
      <w:r>
        <w:rPr>
          <w:rFonts w:ascii="Times New Roman" w:hAnsi="Times New Roman" w:eastAsia="等线" w:cs="Times New Roman"/>
          <w:sz w:val="24"/>
        </w:rPr>
        <w:t>Co., Ltd</w:t>
      </w:r>
      <w:bookmarkEnd w:id="0"/>
      <w:r>
        <w:rPr>
          <w:rFonts w:ascii="Times New Roman" w:hAnsi="Times New Roman" w:eastAsia="等线" w:cs="Times New Roman"/>
          <w:sz w:val="24"/>
        </w:rPr>
        <w:t xml:space="preserve">, Shanghai, China). The reaction was: 95°C for 10 min, then 40 cycles of 95ºC for 15 s and 60ºC for 1 min. The reference gene was </w:t>
      </w:r>
      <w:r>
        <w:rPr>
          <w:rFonts w:ascii="Times New Roman" w:hAnsi="Times New Roman" w:eastAsia="等线" w:cs="Times New Roman"/>
          <w:i/>
          <w:iCs/>
          <w:sz w:val="24"/>
        </w:rPr>
        <w:t>GAPDH</w:t>
      </w:r>
      <w:r>
        <w:rPr>
          <w:rFonts w:ascii="Times New Roman" w:hAnsi="Times New Roman" w:eastAsia="等线" w:cs="Times New Roman"/>
          <w:sz w:val="24"/>
        </w:rPr>
        <w:t>, and the relative gene expression levels were calculated using the 2</w:t>
      </w:r>
      <w:r>
        <w:rPr>
          <w:rFonts w:ascii="Times New Roman" w:hAnsi="Times New Roman" w:eastAsia="等线" w:cs="Times New Roman"/>
          <w:sz w:val="24"/>
          <w:vertAlign w:val="superscript"/>
        </w:rPr>
        <w:t>−ΔΔCt</w:t>
      </w:r>
      <w:r>
        <w:rPr>
          <w:rFonts w:ascii="Times New Roman" w:hAnsi="Times New Roman" w:eastAsia="等线" w:cs="Times New Roman"/>
          <w:sz w:val="24"/>
        </w:rPr>
        <w:t xml:space="preserve"> method. </w:t>
      </w:r>
    </w:p>
    <w:p>
      <w:pPr>
        <w:spacing w:line="480" w:lineRule="auto"/>
        <w:ind w:firstLine="0" w:firstLineChars="0"/>
        <w:rPr>
          <w:rFonts w:ascii="Times New Roman" w:hAnsi="Times New Roman" w:eastAsia="等线" w:cs="Times New Roman"/>
          <w:sz w:val="24"/>
        </w:rPr>
      </w:pPr>
    </w:p>
    <w:p>
      <w:pPr>
        <w:spacing w:line="480" w:lineRule="auto"/>
        <w:ind w:firstLine="0" w:firstLineChars="0"/>
        <w:rPr>
          <w:rFonts w:ascii="Times New Roman" w:hAnsi="Times New Roman" w:eastAsia="等线" w:cs="Times New Roman"/>
          <w:sz w:val="24"/>
        </w:rPr>
      </w:pPr>
    </w:p>
    <w:p>
      <w:pPr>
        <w:spacing w:line="480" w:lineRule="auto"/>
        <w:ind w:firstLine="0" w:firstLineChars="0"/>
        <w:rPr>
          <w:rFonts w:ascii="Times New Roman" w:hAnsi="Times New Roman" w:eastAsia="等线" w:cs="Times New Roman"/>
          <w:sz w:val="24"/>
        </w:rPr>
      </w:pPr>
    </w:p>
    <w:p>
      <w:pPr>
        <w:spacing w:line="480" w:lineRule="auto"/>
        <w:ind w:firstLine="0" w:firstLineChars="0"/>
        <w:rPr>
          <w:rFonts w:ascii="Times New Roman" w:hAnsi="Times New Roman" w:eastAsia="等线" w:cs="Times New Roman"/>
          <w:sz w:val="24"/>
        </w:rPr>
      </w:pPr>
    </w:p>
    <w:p>
      <w:pPr>
        <w:spacing w:line="480" w:lineRule="auto"/>
        <w:ind w:firstLine="0" w:firstLineChars="0"/>
        <w:rPr>
          <w:rFonts w:ascii="Times New Roman" w:hAnsi="Times New Roman" w:eastAsia="等线" w:cs="Times New Roman"/>
          <w:sz w:val="24"/>
        </w:rPr>
      </w:pPr>
    </w:p>
    <w:p>
      <w:pPr>
        <w:spacing w:line="480" w:lineRule="auto"/>
        <w:ind w:firstLine="0" w:firstLineChars="0"/>
        <w:rPr>
          <w:rFonts w:ascii="Times New Roman" w:hAnsi="Times New Roman" w:eastAsia="等线" w:cs="Times New Roman"/>
          <w:sz w:val="24"/>
        </w:rPr>
      </w:pPr>
    </w:p>
    <w:p>
      <w:pPr>
        <w:spacing w:line="480" w:lineRule="auto"/>
        <w:ind w:firstLine="0" w:firstLineChars="0"/>
        <w:rPr>
          <w:rFonts w:ascii="Times New Roman" w:hAnsi="Times New Roman" w:eastAsia="等线" w:cs="Times New Roman"/>
          <w:sz w:val="24"/>
        </w:rPr>
      </w:pPr>
    </w:p>
    <w:p>
      <w:pPr>
        <w:spacing w:line="480" w:lineRule="auto"/>
        <w:ind w:firstLine="0" w:firstLineChars="0"/>
        <w:rPr>
          <w:rFonts w:ascii="Times New Roman" w:hAnsi="Times New Roman" w:eastAsia="等线" w:cs="Times New Roman"/>
          <w:sz w:val="24"/>
        </w:rPr>
      </w:pPr>
    </w:p>
    <w:p>
      <w:pPr>
        <w:spacing w:line="480" w:lineRule="auto"/>
        <w:ind w:firstLine="0" w:firstLineChars="0"/>
        <w:rPr>
          <w:rFonts w:ascii="Times New Roman" w:hAnsi="Times New Roman" w:eastAsia="等线" w:cs="Times New Roman"/>
          <w:sz w:val="24"/>
        </w:rPr>
      </w:pPr>
    </w:p>
    <w:p>
      <w:pPr>
        <w:spacing w:line="480" w:lineRule="auto"/>
        <w:ind w:firstLine="0" w:firstLineChars="0"/>
        <w:rPr>
          <w:rFonts w:ascii="Times New Roman" w:hAnsi="Times New Roman" w:eastAsia="等线" w:cs="Times New Roman"/>
          <w:sz w:val="24"/>
        </w:rPr>
      </w:pPr>
    </w:p>
    <w:p>
      <w:pPr>
        <w:spacing w:line="480" w:lineRule="auto"/>
        <w:ind w:firstLine="0" w:firstLineChars="0"/>
        <w:rPr>
          <w:rFonts w:ascii="Times New Roman" w:hAnsi="Times New Roman" w:eastAsia="等线" w:cs="Times New Roman"/>
          <w:sz w:val="24"/>
        </w:rPr>
      </w:pPr>
    </w:p>
    <w:p>
      <w:pPr>
        <w:spacing w:line="480" w:lineRule="auto"/>
        <w:ind w:firstLine="0" w:firstLineChars="0"/>
        <w:rPr>
          <w:rFonts w:ascii="Times New Roman" w:hAnsi="Times New Roman" w:eastAsia="等线" w:cs="Times New Roman"/>
          <w:sz w:val="24"/>
        </w:rPr>
      </w:pPr>
    </w:p>
    <w:p>
      <w:pPr>
        <w:spacing w:line="480" w:lineRule="auto"/>
        <w:ind w:firstLine="0" w:firstLineChars="0"/>
        <w:rPr>
          <w:rFonts w:ascii="Times New Roman" w:hAnsi="Times New Roman" w:eastAsia="等线" w:cs="Times New Roman"/>
          <w:sz w:val="24"/>
        </w:rPr>
      </w:pPr>
    </w:p>
    <w:p>
      <w:pPr>
        <w:spacing w:line="480" w:lineRule="auto"/>
        <w:ind w:firstLine="0" w:firstLineChars="0"/>
        <w:rPr>
          <w:rFonts w:ascii="Times New Roman" w:hAnsi="Times New Roman" w:eastAsia="等线" w:cs="Times New Roman"/>
          <w:sz w:val="24"/>
        </w:rPr>
      </w:pPr>
    </w:p>
    <w:p>
      <w:pPr>
        <w:spacing w:line="480" w:lineRule="auto"/>
        <w:ind w:firstLine="0" w:firstLineChars="0"/>
        <w:rPr>
          <w:rFonts w:ascii="Times New Roman" w:hAnsi="Times New Roman" w:eastAsia="等线" w:cs="Times New Roman"/>
          <w:sz w:val="24"/>
        </w:rPr>
      </w:pPr>
    </w:p>
    <w:p>
      <w:pPr>
        <w:spacing w:line="480" w:lineRule="auto"/>
        <w:ind w:firstLine="0" w:firstLineChars="0"/>
        <w:rPr>
          <w:rFonts w:ascii="Times New Roman" w:hAnsi="Times New Roman" w:eastAsia="等线" w:cs="Times New Roman"/>
          <w:sz w:val="24"/>
        </w:rPr>
      </w:pPr>
    </w:p>
    <w:p>
      <w:pPr>
        <w:spacing w:line="480" w:lineRule="auto"/>
        <w:ind w:firstLine="0" w:firstLineChars="0"/>
        <w:rPr>
          <w:rFonts w:ascii="Times New Roman" w:hAnsi="Times New Roman" w:eastAsia="等线" w:cs="Times New Roman"/>
          <w:sz w:val="24"/>
        </w:rPr>
      </w:pPr>
      <w:bookmarkStart w:id="1" w:name="_GoBack"/>
      <w:bookmarkEnd w:id="1"/>
    </w:p>
    <w:p>
      <w:pPr>
        <w:spacing w:line="480" w:lineRule="auto"/>
        <w:ind w:firstLine="0" w:firstLineChars="0"/>
        <w:rPr>
          <w:rFonts w:ascii="Times New Roman" w:hAnsi="Times New Roman" w:eastAsia="等线" w:cs="Times New Roman"/>
          <w:sz w:val="24"/>
        </w:rPr>
      </w:pPr>
    </w:p>
    <w:p>
      <w:pPr>
        <w:spacing w:line="480" w:lineRule="auto"/>
        <w:ind w:firstLine="0" w:firstLineChars="0"/>
        <w:rPr>
          <w:rFonts w:ascii="Times New Roman" w:hAnsi="Times New Roman" w:eastAsia="等线" w:cs="Times New Roman"/>
          <w:sz w:val="24"/>
        </w:rPr>
      </w:pPr>
    </w:p>
    <w:p>
      <w:pPr>
        <w:spacing w:line="480" w:lineRule="auto"/>
        <w:ind w:firstLine="0" w:firstLineChars="0"/>
        <w:rPr>
          <w:rFonts w:ascii="Times New Roman" w:hAnsi="Times New Roman" w:eastAsia="等线" w:cs="Times New Roman"/>
          <w:sz w:val="24"/>
        </w:rPr>
      </w:pPr>
    </w:p>
    <w:p>
      <w:pPr>
        <w:spacing w:line="480" w:lineRule="auto"/>
        <w:ind w:firstLine="0" w:firstLineChars="0"/>
        <w:rPr>
          <w:rFonts w:hint="eastAsia" w:ascii="Times New Roman" w:hAnsi="Times New Roman" w:eastAsia="宋体" w:cs="Times New Roman"/>
          <w:b/>
          <w:bCs w:val="0"/>
          <w:kern w:val="2"/>
          <w:sz w:val="24"/>
          <w:szCs w:val="24"/>
          <w:lang w:val="en-US" w:eastAsia="zh-CN" w:bidi="ar"/>
        </w:rPr>
      </w:pPr>
      <w:r>
        <w:rPr>
          <w:rFonts w:hint="default" w:ascii="Times New Roman" w:hAnsi="Times New Roman" w:eastAsia="宋体" w:cs="Times New Roman"/>
          <w:b/>
          <w:bCs w:val="0"/>
          <w:kern w:val="2"/>
          <w:sz w:val="24"/>
          <w:szCs w:val="24"/>
          <w:lang w:val="en-US" w:eastAsia="zh-CN" w:bidi="ar"/>
        </w:rPr>
        <w:t>Supplementary</w:t>
      </w:r>
      <w:r>
        <w:rPr>
          <w:rFonts w:hint="eastAsia" w:ascii="Times New Roman" w:hAnsi="Times New Roman" w:eastAsia="宋体" w:cs="Times New Roman"/>
          <w:b/>
          <w:bCs w:val="0"/>
          <w:kern w:val="2"/>
          <w:sz w:val="24"/>
          <w:szCs w:val="24"/>
          <w:lang w:val="en-US" w:eastAsia="zh-CN" w:bidi="ar"/>
        </w:rPr>
        <w:t xml:space="preserve"> Figures</w:t>
      </w:r>
    </w:p>
    <w:p>
      <w:pPr>
        <w:spacing w:line="480" w:lineRule="auto"/>
        <w:ind w:firstLine="0" w:firstLineChars="0"/>
        <w:rPr>
          <w:rFonts w:hint="default" w:ascii="Times New Roman" w:hAnsi="Times New Roman" w:eastAsia="宋体" w:cs="Times New Roman"/>
          <w:b/>
          <w:bCs w:val="0"/>
          <w:kern w:val="2"/>
          <w:sz w:val="24"/>
          <w:szCs w:val="24"/>
          <w:lang w:val="en-US" w:eastAsia="zh-CN" w:bidi="ar"/>
        </w:rPr>
      </w:pPr>
      <w:r>
        <w:rPr>
          <w:rFonts w:hint="default" w:ascii="Times New Roman" w:hAnsi="Times New Roman" w:eastAsia="宋体" w:cs="Times New Roman"/>
          <w:b/>
          <w:bCs w:val="0"/>
          <w:kern w:val="2"/>
          <w:sz w:val="24"/>
          <w:szCs w:val="24"/>
          <w:lang w:val="en-US" w:eastAsia="zh-CN" w:bidi="ar"/>
        </w:rPr>
        <w:drawing>
          <wp:inline distT="0" distB="0" distL="114300" distR="114300">
            <wp:extent cx="5271770" cy="4872990"/>
            <wp:effectExtent l="0" t="0" r="5080" b="3810"/>
            <wp:docPr id="1" name="图片 1" descr="Fig.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 S1"/>
                    <pic:cNvPicPr>
                      <a:picLocks noChangeAspect="1"/>
                    </pic:cNvPicPr>
                  </pic:nvPicPr>
                  <pic:blipFill>
                    <a:blip r:embed="rId4"/>
                    <a:stretch>
                      <a:fillRect/>
                    </a:stretch>
                  </pic:blipFill>
                  <pic:spPr>
                    <a:xfrm>
                      <a:off x="0" y="0"/>
                      <a:ext cx="5271770" cy="4872990"/>
                    </a:xfrm>
                    <a:prstGeom prst="rect">
                      <a:avLst/>
                    </a:prstGeom>
                  </pic:spPr>
                </pic:pic>
              </a:graphicData>
            </a:graphic>
          </wp:inline>
        </w:drawing>
      </w:r>
    </w:p>
    <w:p>
      <w:pPr>
        <w:spacing w:line="360" w:lineRule="auto"/>
        <w:jc w:val="left"/>
        <w:rPr>
          <w:rFonts w:hint="default" w:ascii="Arial" w:hAnsi="Arial" w:eastAsia="等线" w:cs="Arial"/>
          <w:b w:val="0"/>
          <w:bCs w:val="0"/>
          <w:sz w:val="20"/>
          <w:szCs w:val="20"/>
        </w:rPr>
      </w:pPr>
      <w:r>
        <w:rPr>
          <w:rFonts w:hint="default" w:ascii="Arial" w:hAnsi="Arial" w:eastAsia="等线" w:cs="Arial"/>
          <w:b/>
          <w:bCs/>
          <w:sz w:val="20"/>
          <w:szCs w:val="20"/>
        </w:rPr>
        <w:t>Fig</w:t>
      </w:r>
      <w:r>
        <w:rPr>
          <w:rFonts w:hint="eastAsia" w:ascii="Arial" w:hAnsi="Arial" w:eastAsia="等线" w:cs="Arial"/>
          <w:b/>
          <w:bCs/>
          <w:sz w:val="20"/>
          <w:szCs w:val="20"/>
          <w:lang w:val="en-US" w:eastAsia="zh-CN"/>
        </w:rPr>
        <w:t>ure</w:t>
      </w:r>
      <w:r>
        <w:rPr>
          <w:rFonts w:hint="default" w:ascii="Arial" w:hAnsi="Arial" w:eastAsia="等线" w:cs="Arial"/>
          <w:b/>
          <w:bCs/>
          <w:sz w:val="20"/>
          <w:szCs w:val="20"/>
        </w:rPr>
        <w:t xml:space="preserve"> </w:t>
      </w:r>
      <w:r>
        <w:rPr>
          <w:rFonts w:hint="eastAsia" w:ascii="Arial" w:hAnsi="Arial" w:eastAsia="等线" w:cs="Arial"/>
          <w:b/>
          <w:bCs/>
          <w:sz w:val="20"/>
          <w:szCs w:val="20"/>
          <w:lang w:val="en-US" w:eastAsia="zh-CN"/>
        </w:rPr>
        <w:t>S1</w:t>
      </w:r>
      <w:r>
        <w:rPr>
          <w:rFonts w:hint="default" w:ascii="Arial" w:hAnsi="Arial" w:eastAsia="等线" w:cs="Arial"/>
          <w:b/>
          <w:bCs/>
          <w:sz w:val="20"/>
          <w:szCs w:val="20"/>
        </w:rPr>
        <w:t>. Expressions of seven differentially expressed circRNAs in GSE131969 and our RNA-seq data, respectively.</w:t>
      </w:r>
      <w:r>
        <w:rPr>
          <w:rFonts w:hint="default" w:ascii="Arial" w:hAnsi="Arial" w:eastAsia="等线" w:cs="Arial"/>
          <w:b w:val="0"/>
          <w:bCs w:val="0"/>
          <w:sz w:val="20"/>
          <w:szCs w:val="20"/>
        </w:rPr>
        <w:t xml:space="preserve"> </w:t>
      </w:r>
      <w:r>
        <w:rPr>
          <w:rFonts w:hint="eastAsia" w:ascii="Arial" w:hAnsi="Arial" w:eastAsia="等线" w:cs="Arial"/>
          <w:b/>
          <w:bCs/>
          <w:sz w:val="20"/>
          <w:szCs w:val="20"/>
          <w:lang w:val="en-US" w:eastAsia="zh-CN"/>
        </w:rPr>
        <w:t>(</w:t>
      </w:r>
      <w:r>
        <w:rPr>
          <w:rFonts w:hint="default" w:ascii="Arial" w:hAnsi="Arial" w:eastAsia="等线" w:cs="Arial"/>
          <w:b/>
          <w:bCs/>
          <w:sz w:val="20"/>
          <w:szCs w:val="20"/>
        </w:rPr>
        <w:t>A, B)</w:t>
      </w:r>
      <w:r>
        <w:rPr>
          <w:rFonts w:hint="default" w:ascii="Arial" w:hAnsi="Arial" w:eastAsia="等线" w:cs="Arial"/>
          <w:b w:val="0"/>
          <w:bCs w:val="0"/>
          <w:sz w:val="20"/>
          <w:szCs w:val="20"/>
        </w:rPr>
        <w:t xml:space="preserve"> Differentially expressed circRNAs between ECA and the adjacent normal tissues in GSE131969 and the present RNA-seq data.</w:t>
      </w:r>
    </w:p>
    <w:p>
      <w:pPr>
        <w:spacing w:line="360" w:lineRule="auto"/>
        <w:jc w:val="left"/>
        <w:rPr>
          <w:rFonts w:hint="eastAsia" w:ascii="Arial" w:hAnsi="Arial" w:eastAsia="等线" w:cs="Arial"/>
          <w:b w:val="0"/>
          <w:bCs w:val="0"/>
          <w:sz w:val="20"/>
          <w:szCs w:val="20"/>
          <w:lang w:eastAsia="zh-CN"/>
        </w:rPr>
      </w:pPr>
      <w:r>
        <w:rPr>
          <w:rFonts w:hint="eastAsia" w:ascii="Arial" w:hAnsi="Arial" w:eastAsia="等线" w:cs="Arial"/>
          <w:b w:val="0"/>
          <w:bCs w:val="0"/>
          <w:sz w:val="20"/>
          <w:szCs w:val="20"/>
          <w:lang w:eastAsia="zh-CN"/>
        </w:rPr>
        <w:drawing>
          <wp:inline distT="0" distB="0" distL="114300" distR="114300">
            <wp:extent cx="5271770" cy="6672580"/>
            <wp:effectExtent l="0" t="0" r="5080" b="4445"/>
            <wp:docPr id="2" name="图片 2" descr="Fig.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 S2"/>
                    <pic:cNvPicPr>
                      <a:picLocks noChangeAspect="1"/>
                    </pic:cNvPicPr>
                  </pic:nvPicPr>
                  <pic:blipFill>
                    <a:blip r:embed="rId5"/>
                    <a:stretch>
                      <a:fillRect/>
                    </a:stretch>
                  </pic:blipFill>
                  <pic:spPr>
                    <a:xfrm>
                      <a:off x="0" y="0"/>
                      <a:ext cx="5271770" cy="6672580"/>
                    </a:xfrm>
                    <a:prstGeom prst="rect">
                      <a:avLst/>
                    </a:prstGeom>
                  </pic:spPr>
                </pic:pic>
              </a:graphicData>
            </a:graphic>
          </wp:inline>
        </w:drawing>
      </w:r>
    </w:p>
    <w:p>
      <w:pPr>
        <w:spacing w:line="360" w:lineRule="auto"/>
        <w:jc w:val="left"/>
        <w:rPr>
          <w:rFonts w:hint="default" w:ascii="Arial" w:hAnsi="Arial" w:eastAsia="等线" w:cs="Arial"/>
          <w:b w:val="0"/>
          <w:bCs w:val="0"/>
          <w:sz w:val="20"/>
          <w:szCs w:val="20"/>
        </w:rPr>
      </w:pPr>
      <w:r>
        <w:rPr>
          <w:rFonts w:hint="default" w:ascii="Arial" w:hAnsi="Arial" w:eastAsia="等线" w:cs="Arial"/>
          <w:b/>
          <w:bCs/>
          <w:sz w:val="20"/>
          <w:szCs w:val="20"/>
        </w:rPr>
        <w:t>Fig</w:t>
      </w:r>
      <w:r>
        <w:rPr>
          <w:rFonts w:hint="eastAsia" w:ascii="Arial" w:hAnsi="Arial" w:eastAsia="等线" w:cs="Arial"/>
          <w:b/>
          <w:bCs/>
          <w:sz w:val="20"/>
          <w:szCs w:val="20"/>
          <w:lang w:val="en-US" w:eastAsia="zh-CN"/>
        </w:rPr>
        <w:t>ure</w:t>
      </w:r>
      <w:r>
        <w:rPr>
          <w:rFonts w:hint="default" w:ascii="Arial" w:hAnsi="Arial" w:eastAsia="等线" w:cs="Arial"/>
          <w:b/>
          <w:bCs/>
          <w:sz w:val="20"/>
          <w:szCs w:val="20"/>
        </w:rPr>
        <w:t xml:space="preserve"> </w:t>
      </w:r>
      <w:r>
        <w:rPr>
          <w:rFonts w:hint="eastAsia" w:ascii="Arial" w:hAnsi="Arial" w:eastAsia="等线" w:cs="Arial"/>
          <w:b/>
          <w:bCs/>
          <w:sz w:val="20"/>
          <w:szCs w:val="20"/>
          <w:lang w:val="en-US" w:eastAsia="zh-CN"/>
        </w:rPr>
        <w:t>S2</w:t>
      </w:r>
      <w:r>
        <w:rPr>
          <w:rFonts w:hint="default" w:ascii="Arial" w:hAnsi="Arial" w:eastAsia="等线" w:cs="Arial"/>
          <w:b/>
          <w:bCs/>
          <w:sz w:val="20"/>
          <w:szCs w:val="20"/>
        </w:rPr>
        <w:t>.</w:t>
      </w:r>
      <w:r>
        <w:rPr>
          <w:rFonts w:hint="default" w:ascii="Arial" w:hAnsi="Arial" w:eastAsia="等线" w:cs="Arial"/>
          <w:b w:val="0"/>
          <w:bCs w:val="0"/>
          <w:sz w:val="20"/>
          <w:szCs w:val="20"/>
        </w:rPr>
        <w:t xml:space="preserve"> </w:t>
      </w:r>
      <w:r>
        <w:rPr>
          <w:rFonts w:hint="default" w:ascii="Arial" w:hAnsi="Arial" w:eastAsia="等线" w:cs="Arial"/>
          <w:b/>
          <w:bCs/>
          <w:sz w:val="20"/>
          <w:szCs w:val="20"/>
        </w:rPr>
        <w:t xml:space="preserve">Functional annotation of target mRNAs. </w:t>
      </w:r>
      <w:r>
        <w:rPr>
          <w:rFonts w:hint="eastAsia" w:ascii="Arial" w:hAnsi="Arial" w:eastAsia="等线" w:cs="Arial"/>
          <w:b/>
          <w:bCs/>
          <w:sz w:val="20"/>
          <w:szCs w:val="20"/>
          <w:lang w:val="en-US" w:eastAsia="zh-CN"/>
        </w:rPr>
        <w:t>(</w:t>
      </w:r>
      <w:r>
        <w:rPr>
          <w:rFonts w:hint="default" w:ascii="Arial" w:hAnsi="Arial" w:eastAsia="等线" w:cs="Arial"/>
          <w:b/>
          <w:bCs/>
          <w:sz w:val="20"/>
          <w:szCs w:val="20"/>
        </w:rPr>
        <w:t xml:space="preserve">A) </w:t>
      </w:r>
      <w:r>
        <w:rPr>
          <w:rFonts w:hint="default" w:ascii="Arial" w:hAnsi="Arial" w:eastAsia="等线" w:cs="Arial"/>
          <w:b w:val="0"/>
          <w:bCs w:val="0"/>
          <w:sz w:val="20"/>
          <w:szCs w:val="20"/>
        </w:rPr>
        <w:t>Functional enrichment of targets using the David database;</w:t>
      </w:r>
      <w:r>
        <w:rPr>
          <w:rFonts w:hint="default" w:ascii="Arial" w:hAnsi="Arial" w:eastAsia="等线" w:cs="Arial"/>
          <w:b/>
          <w:bCs/>
          <w:sz w:val="20"/>
          <w:szCs w:val="20"/>
        </w:rPr>
        <w:t xml:space="preserve"> </w:t>
      </w:r>
      <w:r>
        <w:rPr>
          <w:rFonts w:hint="eastAsia" w:ascii="Arial" w:hAnsi="Arial" w:eastAsia="等线" w:cs="Arial"/>
          <w:b/>
          <w:bCs/>
          <w:sz w:val="20"/>
          <w:szCs w:val="20"/>
          <w:lang w:val="en-US" w:eastAsia="zh-CN"/>
        </w:rPr>
        <w:t>(</w:t>
      </w:r>
      <w:r>
        <w:rPr>
          <w:rFonts w:hint="default" w:ascii="Arial" w:hAnsi="Arial" w:eastAsia="等线" w:cs="Arial"/>
          <w:b/>
          <w:bCs/>
          <w:sz w:val="20"/>
          <w:szCs w:val="20"/>
        </w:rPr>
        <w:t>B)</w:t>
      </w:r>
      <w:r>
        <w:rPr>
          <w:rFonts w:hint="default" w:ascii="Arial" w:hAnsi="Arial" w:eastAsia="等线" w:cs="Arial"/>
          <w:b w:val="0"/>
          <w:bCs w:val="0"/>
          <w:sz w:val="20"/>
          <w:szCs w:val="20"/>
        </w:rPr>
        <w:t xml:space="preserve"> functional enrichment of targets using the String database.</w:t>
      </w:r>
    </w:p>
    <w:p>
      <w:pPr>
        <w:spacing w:line="360" w:lineRule="auto"/>
        <w:jc w:val="left"/>
        <w:rPr>
          <w:rFonts w:hint="eastAsia" w:ascii="Arial" w:hAnsi="Arial" w:eastAsia="等线" w:cs="Arial"/>
          <w:b w:val="0"/>
          <w:bCs w:val="0"/>
          <w:sz w:val="20"/>
          <w:szCs w:val="20"/>
          <w:lang w:eastAsia="zh-CN"/>
        </w:rPr>
      </w:pPr>
      <w:r>
        <w:rPr>
          <w:rFonts w:hint="eastAsia" w:ascii="Arial" w:hAnsi="Arial" w:eastAsia="等线" w:cs="Arial"/>
          <w:b w:val="0"/>
          <w:bCs w:val="0"/>
          <w:sz w:val="20"/>
          <w:szCs w:val="20"/>
          <w:lang w:eastAsia="zh-CN"/>
        </w:rPr>
        <w:drawing>
          <wp:inline distT="0" distB="0" distL="114300" distR="114300">
            <wp:extent cx="5274310" cy="2443480"/>
            <wp:effectExtent l="0" t="0" r="2540" b="4445"/>
            <wp:docPr id="3" name="图片 3" descr="Fig.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 S3"/>
                    <pic:cNvPicPr>
                      <a:picLocks noChangeAspect="1"/>
                    </pic:cNvPicPr>
                  </pic:nvPicPr>
                  <pic:blipFill>
                    <a:blip r:embed="rId6"/>
                    <a:stretch>
                      <a:fillRect/>
                    </a:stretch>
                  </pic:blipFill>
                  <pic:spPr>
                    <a:xfrm>
                      <a:off x="0" y="0"/>
                      <a:ext cx="5274310" cy="2443480"/>
                    </a:xfrm>
                    <a:prstGeom prst="rect">
                      <a:avLst/>
                    </a:prstGeom>
                  </pic:spPr>
                </pic:pic>
              </a:graphicData>
            </a:graphic>
          </wp:inline>
        </w:drawing>
      </w:r>
    </w:p>
    <w:p>
      <w:pPr>
        <w:spacing w:line="360" w:lineRule="auto"/>
        <w:jc w:val="left"/>
        <w:rPr>
          <w:rFonts w:hint="default" w:ascii="Arial" w:hAnsi="Arial" w:eastAsia="等线" w:cs="Arial"/>
          <w:b w:val="0"/>
          <w:bCs w:val="0"/>
          <w:sz w:val="20"/>
          <w:szCs w:val="20"/>
        </w:rPr>
      </w:pPr>
      <w:r>
        <w:rPr>
          <w:rFonts w:hint="default" w:ascii="Arial" w:hAnsi="Arial" w:eastAsia="等线" w:cs="Arial"/>
          <w:b/>
          <w:bCs/>
          <w:sz w:val="20"/>
          <w:szCs w:val="20"/>
        </w:rPr>
        <w:t>Fig</w:t>
      </w:r>
      <w:r>
        <w:rPr>
          <w:rFonts w:hint="eastAsia" w:ascii="Arial" w:hAnsi="Arial" w:eastAsia="等线" w:cs="Arial"/>
          <w:b/>
          <w:bCs/>
          <w:sz w:val="20"/>
          <w:szCs w:val="20"/>
          <w:lang w:val="en-US" w:eastAsia="zh-CN"/>
        </w:rPr>
        <w:t>ure</w:t>
      </w:r>
      <w:r>
        <w:rPr>
          <w:rFonts w:hint="default" w:ascii="Arial" w:hAnsi="Arial" w:eastAsia="等线" w:cs="Arial"/>
          <w:b/>
          <w:bCs/>
          <w:sz w:val="20"/>
          <w:szCs w:val="20"/>
        </w:rPr>
        <w:t xml:space="preserve"> </w:t>
      </w:r>
      <w:r>
        <w:rPr>
          <w:rFonts w:hint="eastAsia" w:ascii="Arial" w:hAnsi="Arial" w:eastAsia="等线" w:cs="Arial"/>
          <w:b/>
          <w:bCs/>
          <w:sz w:val="20"/>
          <w:szCs w:val="20"/>
          <w:lang w:val="en-US" w:eastAsia="zh-CN"/>
        </w:rPr>
        <w:t>S3</w:t>
      </w:r>
      <w:r>
        <w:rPr>
          <w:rFonts w:hint="default" w:ascii="Arial" w:hAnsi="Arial" w:eastAsia="等线" w:cs="Arial"/>
          <w:b/>
          <w:bCs/>
          <w:sz w:val="20"/>
          <w:szCs w:val="20"/>
        </w:rPr>
        <w:t>.</w:t>
      </w:r>
      <w:r>
        <w:rPr>
          <w:rFonts w:hint="default" w:ascii="Arial" w:hAnsi="Arial" w:eastAsia="等线" w:cs="Arial"/>
          <w:b w:val="0"/>
          <w:bCs w:val="0"/>
          <w:sz w:val="20"/>
          <w:szCs w:val="20"/>
        </w:rPr>
        <w:t xml:space="preserve"> </w:t>
      </w:r>
      <w:r>
        <w:rPr>
          <w:rFonts w:hint="default" w:ascii="Arial" w:hAnsi="Arial" w:eastAsia="等线" w:cs="Arial"/>
          <w:b/>
          <w:bCs/>
          <w:sz w:val="20"/>
          <w:szCs w:val="20"/>
        </w:rPr>
        <w:t>Differential expression of target mRNAs in the TCGA database and our RNA-Seq data.</w:t>
      </w:r>
      <w:r>
        <w:rPr>
          <w:rFonts w:hint="default" w:ascii="Arial" w:hAnsi="Arial" w:eastAsia="等线" w:cs="Arial"/>
          <w:b w:val="0"/>
          <w:bCs w:val="0"/>
          <w:sz w:val="20"/>
          <w:szCs w:val="20"/>
        </w:rPr>
        <w:t xml:space="preserve"> </w:t>
      </w:r>
      <w:r>
        <w:rPr>
          <w:rFonts w:hint="eastAsia" w:ascii="Arial" w:hAnsi="Arial" w:eastAsia="等线" w:cs="Arial"/>
          <w:b/>
          <w:bCs/>
          <w:sz w:val="20"/>
          <w:szCs w:val="20"/>
          <w:lang w:val="en-US" w:eastAsia="zh-CN"/>
        </w:rPr>
        <w:t>(</w:t>
      </w:r>
      <w:r>
        <w:rPr>
          <w:rFonts w:hint="default" w:ascii="Arial" w:hAnsi="Arial" w:eastAsia="等线" w:cs="Arial"/>
          <w:b/>
          <w:bCs/>
          <w:sz w:val="20"/>
          <w:szCs w:val="20"/>
        </w:rPr>
        <w:t>A)</w:t>
      </w:r>
      <w:r>
        <w:rPr>
          <w:rFonts w:hint="default" w:ascii="Arial" w:hAnsi="Arial" w:eastAsia="等线" w:cs="Arial"/>
          <w:b w:val="0"/>
          <w:bCs w:val="0"/>
          <w:sz w:val="20"/>
          <w:szCs w:val="20"/>
        </w:rPr>
        <w:t xml:space="preserve"> Differential expression of mRNAs in the TCGA database; </w:t>
      </w:r>
      <w:r>
        <w:rPr>
          <w:rFonts w:hint="eastAsia" w:ascii="Arial" w:hAnsi="Arial" w:eastAsia="等线" w:cs="Arial"/>
          <w:b/>
          <w:bCs/>
          <w:sz w:val="20"/>
          <w:szCs w:val="20"/>
          <w:lang w:val="en-US" w:eastAsia="zh-CN"/>
        </w:rPr>
        <w:t>(</w:t>
      </w:r>
      <w:r>
        <w:rPr>
          <w:rFonts w:hint="default" w:ascii="Arial" w:hAnsi="Arial" w:eastAsia="等线" w:cs="Arial"/>
          <w:b/>
          <w:bCs/>
          <w:sz w:val="20"/>
          <w:szCs w:val="20"/>
        </w:rPr>
        <w:t>B)</w:t>
      </w:r>
      <w:r>
        <w:rPr>
          <w:rFonts w:hint="default" w:ascii="Arial" w:hAnsi="Arial" w:eastAsia="等线" w:cs="Arial"/>
          <w:b w:val="0"/>
          <w:bCs w:val="0"/>
          <w:sz w:val="20"/>
          <w:szCs w:val="20"/>
        </w:rPr>
        <w:t xml:space="preserve"> differential expression of mRNAs in our RNA-Seq data.</w:t>
      </w:r>
    </w:p>
    <w:p>
      <w:pPr>
        <w:spacing w:line="360" w:lineRule="auto"/>
        <w:jc w:val="left"/>
        <w:rPr>
          <w:rFonts w:hint="default" w:ascii="Arial" w:hAnsi="Arial" w:eastAsia="等线" w:cs="Arial"/>
          <w:b w:val="0"/>
          <w:bCs w:val="0"/>
          <w:sz w:val="20"/>
          <w:szCs w:val="20"/>
        </w:rPr>
      </w:pPr>
    </w:p>
    <w:p>
      <w:pPr>
        <w:spacing w:line="360" w:lineRule="auto"/>
        <w:jc w:val="left"/>
        <w:rPr>
          <w:rFonts w:hint="default" w:ascii="Arial" w:hAnsi="Arial" w:eastAsia="等线" w:cs="Arial"/>
          <w:b w:val="0"/>
          <w:bCs w:val="0"/>
          <w:sz w:val="20"/>
          <w:szCs w:val="20"/>
        </w:rPr>
      </w:pPr>
    </w:p>
    <w:p>
      <w:pPr>
        <w:spacing w:line="360" w:lineRule="auto"/>
        <w:jc w:val="left"/>
        <w:rPr>
          <w:rFonts w:hint="default" w:ascii="Arial" w:hAnsi="Arial" w:eastAsia="等线" w:cs="Arial"/>
          <w:b w:val="0"/>
          <w:bCs w:val="0"/>
          <w:sz w:val="20"/>
          <w:szCs w:val="20"/>
        </w:rPr>
      </w:pPr>
    </w:p>
    <w:p>
      <w:pPr>
        <w:spacing w:line="360" w:lineRule="auto"/>
        <w:jc w:val="left"/>
        <w:rPr>
          <w:rFonts w:hint="default" w:ascii="Arial" w:hAnsi="Arial" w:eastAsia="等线" w:cs="Arial"/>
          <w:b w:val="0"/>
          <w:bCs w:val="0"/>
          <w:sz w:val="20"/>
          <w:szCs w:val="20"/>
        </w:rPr>
      </w:pPr>
    </w:p>
    <w:p>
      <w:pPr>
        <w:spacing w:line="360" w:lineRule="auto"/>
        <w:jc w:val="left"/>
        <w:rPr>
          <w:rFonts w:hint="eastAsia" w:ascii="Arial" w:hAnsi="Arial" w:eastAsia="等线" w:cs="Arial"/>
          <w:b w:val="0"/>
          <w:bCs w:val="0"/>
          <w:sz w:val="20"/>
          <w:szCs w:val="20"/>
          <w:lang w:eastAsia="zh-CN"/>
        </w:rPr>
      </w:pPr>
      <w:r>
        <w:rPr>
          <w:rFonts w:hint="eastAsia" w:ascii="Arial" w:hAnsi="Arial" w:eastAsia="等线" w:cs="Arial"/>
          <w:b w:val="0"/>
          <w:bCs w:val="0"/>
          <w:sz w:val="20"/>
          <w:szCs w:val="20"/>
          <w:lang w:eastAsia="zh-CN"/>
        </w:rPr>
        <w:drawing>
          <wp:inline distT="0" distB="0" distL="114300" distR="114300">
            <wp:extent cx="5273675" cy="5160010"/>
            <wp:effectExtent l="0" t="0" r="3175" b="2540"/>
            <wp:docPr id="4" name="图片 4" descr="Fig.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 S4"/>
                    <pic:cNvPicPr>
                      <a:picLocks noChangeAspect="1"/>
                    </pic:cNvPicPr>
                  </pic:nvPicPr>
                  <pic:blipFill>
                    <a:blip r:embed="rId7"/>
                    <a:stretch>
                      <a:fillRect/>
                    </a:stretch>
                  </pic:blipFill>
                  <pic:spPr>
                    <a:xfrm>
                      <a:off x="0" y="0"/>
                      <a:ext cx="5273675" cy="5160010"/>
                    </a:xfrm>
                    <a:prstGeom prst="rect">
                      <a:avLst/>
                    </a:prstGeom>
                  </pic:spPr>
                </pic:pic>
              </a:graphicData>
            </a:graphic>
          </wp:inline>
        </w:drawing>
      </w:r>
    </w:p>
    <w:p>
      <w:pPr>
        <w:spacing w:line="360" w:lineRule="auto"/>
        <w:jc w:val="left"/>
        <w:rPr>
          <w:rFonts w:ascii="Times New Roman" w:hAnsi="Times New Roman" w:eastAsia="等线" w:cs="Times New Roman"/>
          <w:sz w:val="24"/>
        </w:rPr>
      </w:pPr>
      <w:r>
        <w:rPr>
          <w:rFonts w:hint="default" w:ascii="Arial" w:hAnsi="Arial" w:eastAsia="等线" w:cs="Arial"/>
          <w:b/>
          <w:bCs/>
          <w:sz w:val="20"/>
          <w:szCs w:val="20"/>
        </w:rPr>
        <w:t>Fig</w:t>
      </w:r>
      <w:r>
        <w:rPr>
          <w:rFonts w:hint="default" w:ascii="Arial" w:hAnsi="Arial" w:eastAsia="等线" w:cs="Arial"/>
          <w:b/>
          <w:bCs/>
          <w:sz w:val="20"/>
          <w:szCs w:val="20"/>
          <w:lang w:val="en-US" w:eastAsia="zh-CN"/>
        </w:rPr>
        <w:t>ure</w:t>
      </w:r>
      <w:r>
        <w:rPr>
          <w:rFonts w:hint="default" w:ascii="Arial" w:hAnsi="Arial" w:eastAsia="等线" w:cs="Arial"/>
          <w:b/>
          <w:bCs/>
          <w:sz w:val="20"/>
          <w:szCs w:val="20"/>
        </w:rPr>
        <w:t xml:space="preserve"> </w:t>
      </w:r>
      <w:r>
        <w:rPr>
          <w:rFonts w:hint="eastAsia" w:ascii="Arial" w:hAnsi="Arial" w:eastAsia="等线" w:cs="Arial"/>
          <w:b/>
          <w:bCs/>
          <w:sz w:val="20"/>
          <w:szCs w:val="20"/>
          <w:lang w:val="en-US" w:eastAsia="zh-CN"/>
        </w:rPr>
        <w:t>S4</w:t>
      </w:r>
      <w:r>
        <w:rPr>
          <w:rFonts w:hint="default" w:ascii="Arial" w:hAnsi="Arial" w:eastAsia="等线" w:cs="Arial"/>
          <w:b/>
          <w:bCs/>
          <w:sz w:val="20"/>
          <w:szCs w:val="20"/>
        </w:rPr>
        <w:t>.</w:t>
      </w:r>
      <w:r>
        <w:rPr>
          <w:rFonts w:hint="default" w:ascii="Arial" w:hAnsi="Arial" w:eastAsia="等线" w:cs="Arial"/>
          <w:sz w:val="20"/>
          <w:szCs w:val="20"/>
        </w:rPr>
        <w:t xml:space="preserve"> </w:t>
      </w:r>
      <w:r>
        <w:rPr>
          <w:rFonts w:hint="default" w:ascii="Arial" w:hAnsi="Arial" w:eastAsia="等线" w:cs="Arial"/>
          <w:b/>
          <w:bCs/>
          <w:sz w:val="20"/>
          <w:szCs w:val="20"/>
        </w:rPr>
        <w:t>Gene set enrichment analysis (GSEA) of key target mRNAs in ECA.</w:t>
      </w:r>
      <w:r>
        <w:rPr>
          <w:rFonts w:hint="default" w:ascii="Arial" w:hAnsi="Arial" w:eastAsia="等线" w:cs="Arial"/>
          <w:sz w:val="20"/>
          <w:szCs w:val="20"/>
        </w:rPr>
        <w:t xml:space="preserve"> </w:t>
      </w:r>
      <w:r>
        <w:rPr>
          <w:rFonts w:hint="eastAsia" w:ascii="Arial" w:hAnsi="Arial" w:eastAsia="等线" w:cs="Arial"/>
          <w:b/>
          <w:bCs/>
          <w:sz w:val="20"/>
          <w:szCs w:val="20"/>
          <w:lang w:val="en-US" w:eastAsia="zh-CN"/>
        </w:rPr>
        <w:t>(</w:t>
      </w:r>
      <w:r>
        <w:rPr>
          <w:rFonts w:hint="default" w:ascii="Arial" w:hAnsi="Arial" w:eastAsia="等线" w:cs="Arial"/>
          <w:b/>
          <w:bCs/>
          <w:sz w:val="20"/>
          <w:szCs w:val="20"/>
        </w:rPr>
        <w:t xml:space="preserve">A-H) </w:t>
      </w:r>
      <w:r>
        <w:rPr>
          <w:rFonts w:hint="default" w:ascii="Arial" w:hAnsi="Arial" w:eastAsia="等线" w:cs="Arial"/>
          <w:sz w:val="20"/>
          <w:szCs w:val="20"/>
        </w:rPr>
        <w:t xml:space="preserve">Gene set enrichment analysis revealed that systemic lupus erythematosus </w:t>
      </w:r>
      <w:r>
        <w:rPr>
          <w:rFonts w:hint="default" w:ascii="Arial" w:hAnsi="Arial" w:eastAsia="等线" w:cs="Arial"/>
          <w:b/>
          <w:bCs/>
          <w:sz w:val="20"/>
          <w:szCs w:val="20"/>
        </w:rPr>
        <w:t>(A)</w:t>
      </w:r>
      <w:r>
        <w:rPr>
          <w:rFonts w:hint="default" w:ascii="Arial" w:hAnsi="Arial" w:eastAsia="等线" w:cs="Arial"/>
          <w:sz w:val="20"/>
          <w:szCs w:val="20"/>
        </w:rPr>
        <w:t xml:space="preserve">, DNA replication </w:t>
      </w:r>
      <w:r>
        <w:rPr>
          <w:rFonts w:hint="default" w:ascii="Arial" w:hAnsi="Arial" w:eastAsia="等线" w:cs="Arial"/>
          <w:b/>
          <w:bCs/>
          <w:sz w:val="20"/>
          <w:szCs w:val="20"/>
        </w:rPr>
        <w:t>(B)</w:t>
      </w:r>
      <w:r>
        <w:rPr>
          <w:rFonts w:hint="default" w:ascii="Arial" w:hAnsi="Arial" w:eastAsia="等线" w:cs="Arial"/>
          <w:sz w:val="20"/>
          <w:szCs w:val="20"/>
        </w:rPr>
        <w:t xml:space="preserve">, base excision repair </w:t>
      </w:r>
      <w:r>
        <w:rPr>
          <w:rFonts w:hint="default" w:ascii="Arial" w:hAnsi="Arial" w:eastAsia="等线" w:cs="Arial"/>
          <w:b/>
          <w:bCs/>
          <w:sz w:val="20"/>
          <w:szCs w:val="20"/>
        </w:rPr>
        <w:t>(C)</w:t>
      </w:r>
      <w:r>
        <w:rPr>
          <w:rFonts w:hint="default" w:ascii="Arial" w:hAnsi="Arial" w:eastAsia="等线" w:cs="Arial"/>
          <w:sz w:val="20"/>
          <w:szCs w:val="20"/>
        </w:rPr>
        <w:t xml:space="preserve">, leishmania infection </w:t>
      </w:r>
      <w:r>
        <w:rPr>
          <w:rFonts w:hint="default" w:ascii="Arial" w:hAnsi="Arial" w:eastAsia="等线" w:cs="Arial"/>
          <w:b/>
          <w:bCs/>
          <w:sz w:val="20"/>
          <w:szCs w:val="20"/>
        </w:rPr>
        <w:t>(D)</w:t>
      </w:r>
      <w:r>
        <w:rPr>
          <w:rFonts w:hint="default" w:ascii="Arial" w:hAnsi="Arial" w:eastAsia="等线" w:cs="Arial"/>
          <w:sz w:val="20"/>
          <w:szCs w:val="20"/>
        </w:rPr>
        <w:t xml:space="preserve">, homologous recombination </w:t>
      </w:r>
      <w:r>
        <w:rPr>
          <w:rFonts w:hint="default" w:ascii="Arial" w:hAnsi="Arial" w:eastAsia="等线" w:cs="Arial"/>
          <w:b/>
          <w:bCs/>
          <w:sz w:val="20"/>
          <w:szCs w:val="20"/>
        </w:rPr>
        <w:t>(E)</w:t>
      </w:r>
      <w:r>
        <w:rPr>
          <w:rFonts w:hint="default" w:ascii="Arial" w:hAnsi="Arial" w:eastAsia="等线" w:cs="Arial"/>
          <w:sz w:val="20"/>
          <w:szCs w:val="20"/>
        </w:rPr>
        <w:t xml:space="preserve">, chemokine signaling pathway </w:t>
      </w:r>
      <w:r>
        <w:rPr>
          <w:rFonts w:hint="default" w:ascii="Arial" w:hAnsi="Arial" w:eastAsia="等线" w:cs="Arial"/>
          <w:b/>
          <w:bCs/>
          <w:sz w:val="20"/>
          <w:szCs w:val="20"/>
        </w:rPr>
        <w:t>(F)</w:t>
      </w:r>
      <w:r>
        <w:rPr>
          <w:rFonts w:hint="default" w:ascii="Arial" w:hAnsi="Arial" w:eastAsia="等线" w:cs="Arial"/>
          <w:sz w:val="20"/>
          <w:szCs w:val="20"/>
        </w:rPr>
        <w:t xml:space="preserve">, T cell receptor signaling pathway </w:t>
      </w:r>
      <w:r>
        <w:rPr>
          <w:rFonts w:hint="default" w:ascii="Arial" w:hAnsi="Arial" w:eastAsia="等线" w:cs="Arial"/>
          <w:b/>
          <w:bCs/>
          <w:sz w:val="20"/>
          <w:szCs w:val="20"/>
        </w:rPr>
        <w:t>(G)</w:t>
      </w:r>
      <w:r>
        <w:rPr>
          <w:rFonts w:hint="default" w:ascii="Arial" w:hAnsi="Arial" w:eastAsia="等线" w:cs="Arial"/>
          <w:sz w:val="20"/>
          <w:szCs w:val="20"/>
        </w:rPr>
        <w:t xml:space="preserve">, and purine metabolism </w:t>
      </w:r>
      <w:r>
        <w:rPr>
          <w:rFonts w:hint="default" w:ascii="Arial" w:hAnsi="Arial" w:eastAsia="等线" w:cs="Arial"/>
          <w:b/>
          <w:bCs/>
          <w:sz w:val="20"/>
          <w:szCs w:val="20"/>
        </w:rPr>
        <w:t xml:space="preserve">(H) </w:t>
      </w:r>
      <w:r>
        <w:rPr>
          <w:rFonts w:hint="default" w:ascii="Arial" w:hAnsi="Arial" w:eastAsia="等线" w:cs="Arial"/>
          <w:sz w:val="20"/>
          <w:szCs w:val="20"/>
        </w:rPr>
        <w:t xml:space="preserve">were enriched in ECA. </w:t>
      </w:r>
      <w:r>
        <w:rPr>
          <w:rFonts w:hint="eastAsia" w:ascii="Arial" w:hAnsi="Arial" w:eastAsia="等线" w:cs="Arial"/>
          <w:b/>
          <w:bCs/>
          <w:sz w:val="20"/>
          <w:szCs w:val="20"/>
          <w:lang w:val="en-US" w:eastAsia="zh-CN"/>
        </w:rPr>
        <w:t>(</w:t>
      </w:r>
      <w:r>
        <w:rPr>
          <w:rFonts w:hint="default" w:ascii="Arial" w:hAnsi="Arial" w:eastAsia="等线" w:cs="Arial"/>
          <w:b/>
          <w:bCs/>
          <w:sz w:val="20"/>
          <w:szCs w:val="20"/>
        </w:rPr>
        <w:t>I)</w:t>
      </w:r>
      <w:r>
        <w:rPr>
          <w:rFonts w:hint="default" w:ascii="Arial" w:hAnsi="Arial" w:eastAsia="等线" w:cs="Arial"/>
          <w:sz w:val="20"/>
          <w:szCs w:val="20"/>
        </w:rPr>
        <w:t xml:space="preserve"> Normalized enrichment score (NES) and corresponding significance. </w:t>
      </w:r>
      <w:r>
        <w:rPr>
          <w:rFonts w:hint="default" w:ascii="Arial" w:hAnsi="Arial" w:eastAsia="等线" w:cs="Arial"/>
          <w:i/>
          <w:iCs/>
          <w:sz w:val="20"/>
          <w:szCs w:val="20"/>
        </w:rPr>
        <w:t>P</w:t>
      </w:r>
      <w:r>
        <w:rPr>
          <w:rFonts w:hint="default" w:ascii="Arial" w:hAnsi="Arial" w:eastAsia="等线" w:cs="Arial"/>
          <w:sz w:val="20"/>
          <w:szCs w:val="20"/>
        </w:rPr>
        <w:t xml:space="preserve"> &lt; 0.05.</w:t>
      </w:r>
    </w:p>
    <w:p>
      <w:pPr>
        <w:spacing w:line="360" w:lineRule="auto"/>
        <w:jc w:val="left"/>
        <w:rPr>
          <w:rFonts w:hint="eastAsia" w:ascii="Times New Roman" w:hAnsi="Times New Roman" w:eastAsia="等线" w:cs="Times New Roman"/>
          <w:sz w:val="24"/>
          <w:lang w:eastAsia="zh-CN"/>
        </w:rPr>
      </w:pPr>
      <w:r>
        <w:rPr>
          <w:rFonts w:hint="eastAsia" w:ascii="Times New Roman" w:hAnsi="Times New Roman" w:eastAsia="等线" w:cs="Times New Roman"/>
          <w:sz w:val="24"/>
          <w:lang w:eastAsia="zh-CN"/>
        </w:rPr>
        <w:drawing>
          <wp:inline distT="0" distB="0" distL="114300" distR="114300">
            <wp:extent cx="5105400" cy="4304030"/>
            <wp:effectExtent l="0" t="0" r="0" b="1270"/>
            <wp:docPr id="5" name="图片 5" descr="Fig. 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 S5"/>
                    <pic:cNvPicPr>
                      <a:picLocks noChangeAspect="1"/>
                    </pic:cNvPicPr>
                  </pic:nvPicPr>
                  <pic:blipFill>
                    <a:blip r:embed="rId8"/>
                    <a:stretch>
                      <a:fillRect/>
                    </a:stretch>
                  </pic:blipFill>
                  <pic:spPr>
                    <a:xfrm>
                      <a:off x="0" y="0"/>
                      <a:ext cx="5105400" cy="4304030"/>
                    </a:xfrm>
                    <a:prstGeom prst="rect">
                      <a:avLst/>
                    </a:prstGeom>
                  </pic:spPr>
                </pic:pic>
              </a:graphicData>
            </a:graphic>
          </wp:inline>
        </w:drawing>
      </w:r>
    </w:p>
    <w:p>
      <w:pPr>
        <w:spacing w:line="360" w:lineRule="auto"/>
        <w:jc w:val="left"/>
        <w:rPr>
          <w:rFonts w:hint="default" w:ascii="Arial" w:hAnsi="Arial" w:eastAsia="等线" w:cs="Arial"/>
          <w:sz w:val="20"/>
          <w:szCs w:val="20"/>
        </w:rPr>
      </w:pPr>
      <w:r>
        <w:rPr>
          <w:rFonts w:hint="default" w:ascii="Arial" w:hAnsi="Arial" w:eastAsia="等线" w:cs="Arial"/>
          <w:b/>
          <w:bCs/>
          <w:sz w:val="20"/>
          <w:szCs w:val="20"/>
        </w:rPr>
        <w:t>Fig</w:t>
      </w:r>
      <w:r>
        <w:rPr>
          <w:rFonts w:hint="default" w:ascii="Arial" w:hAnsi="Arial" w:eastAsia="等线" w:cs="Arial"/>
          <w:b/>
          <w:bCs/>
          <w:sz w:val="20"/>
          <w:szCs w:val="20"/>
          <w:lang w:val="en-US" w:eastAsia="zh-CN"/>
        </w:rPr>
        <w:t>ure</w:t>
      </w:r>
      <w:r>
        <w:rPr>
          <w:rFonts w:hint="default" w:ascii="Arial" w:hAnsi="Arial" w:eastAsia="等线" w:cs="Arial"/>
          <w:b/>
          <w:bCs/>
          <w:sz w:val="20"/>
          <w:szCs w:val="20"/>
        </w:rPr>
        <w:t xml:space="preserve"> </w:t>
      </w:r>
      <w:r>
        <w:rPr>
          <w:rFonts w:hint="eastAsia" w:ascii="Arial" w:hAnsi="Arial" w:eastAsia="等线" w:cs="Arial"/>
          <w:b/>
          <w:bCs/>
          <w:sz w:val="20"/>
          <w:szCs w:val="20"/>
          <w:lang w:val="en-US" w:eastAsia="zh-CN"/>
        </w:rPr>
        <w:t>S5</w:t>
      </w:r>
      <w:r>
        <w:rPr>
          <w:rFonts w:hint="default" w:ascii="Arial" w:hAnsi="Arial" w:eastAsia="等线" w:cs="Arial"/>
          <w:b/>
          <w:bCs/>
          <w:sz w:val="20"/>
          <w:szCs w:val="20"/>
        </w:rPr>
        <w:t>.</w:t>
      </w:r>
      <w:r>
        <w:rPr>
          <w:rFonts w:hint="default" w:ascii="Arial" w:hAnsi="Arial" w:eastAsia="等线" w:cs="Arial"/>
          <w:sz w:val="20"/>
          <w:szCs w:val="20"/>
        </w:rPr>
        <w:t xml:space="preserve"> </w:t>
      </w:r>
      <w:r>
        <w:rPr>
          <w:rFonts w:hint="default" w:ascii="Arial" w:hAnsi="Arial" w:eastAsia="等线" w:cs="Arial"/>
          <w:b/>
          <w:bCs/>
          <w:sz w:val="20"/>
          <w:szCs w:val="20"/>
        </w:rPr>
        <w:t xml:space="preserve">Relation between </w:t>
      </w:r>
      <w:r>
        <w:rPr>
          <w:rFonts w:hint="default" w:ascii="Arial" w:hAnsi="Arial" w:eastAsia="等线" w:cs="Arial"/>
          <w:b/>
          <w:bCs/>
          <w:i/>
          <w:iCs/>
          <w:sz w:val="20"/>
          <w:szCs w:val="20"/>
        </w:rPr>
        <w:t>LIMD2</w:t>
      </w:r>
      <w:r>
        <w:rPr>
          <w:rFonts w:hint="default" w:ascii="Arial" w:hAnsi="Arial" w:eastAsia="等线" w:cs="Arial"/>
          <w:b/>
          <w:bCs/>
          <w:sz w:val="20"/>
          <w:szCs w:val="20"/>
        </w:rPr>
        <w:t xml:space="preserve"> expression in ECA and clinical variables based on TCGA cohort.</w:t>
      </w:r>
      <w:r>
        <w:rPr>
          <w:rFonts w:hint="default" w:ascii="Arial" w:hAnsi="Arial" w:eastAsia="等线" w:cs="Arial"/>
          <w:sz w:val="20"/>
          <w:szCs w:val="20"/>
        </w:rPr>
        <w:t xml:space="preserve"> Cox regression analysis was performed to identify factors associated with </w:t>
      </w:r>
      <w:r>
        <w:rPr>
          <w:rFonts w:hint="default" w:ascii="Arial" w:hAnsi="Arial" w:eastAsia="等线" w:cs="Arial"/>
          <w:i/>
          <w:iCs/>
          <w:sz w:val="20"/>
          <w:szCs w:val="20"/>
        </w:rPr>
        <w:t>LIMD2</w:t>
      </w:r>
      <w:r>
        <w:rPr>
          <w:rFonts w:hint="default" w:ascii="Arial" w:hAnsi="Arial" w:eastAsia="等线" w:cs="Arial"/>
          <w:sz w:val="20"/>
          <w:szCs w:val="20"/>
        </w:rPr>
        <w:t xml:space="preserve"> in ECA patients.</w:t>
      </w:r>
    </w:p>
    <w:p/>
    <w:p>
      <w:pPr>
        <w:spacing w:line="480" w:lineRule="auto"/>
        <w:ind w:firstLine="0" w:firstLineChars="0"/>
        <w:rPr>
          <w:rFonts w:ascii="Times New Roman" w:hAnsi="Times New Roman" w:eastAsia="等线" w:cs="Times New Roman"/>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90D07D2"/>
    <w:rsid w:val="1BE47351"/>
    <w:rsid w:val="304D7534"/>
    <w:rsid w:val="344F39FD"/>
    <w:rsid w:val="3BAD36EA"/>
    <w:rsid w:val="3F4269B1"/>
    <w:rsid w:val="66531B3C"/>
    <w:rsid w:val="7F0D4C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Office_11.1.0.10567_F1E327BC-269C-435d-A152-05C5408002CA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2021-04-18T12:09:00Z</dcterms:created>
  <dc:creator>心仪的心怡</dc:creator>
  <cp:lastModifiedBy>梦里花落</cp:lastModifiedBy>
  <dcterms:modified xsi:type="dcterms:W3CDTF">2021-05-27T06:51:00Z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2052-11.1.0.10567</vt:lpwstr>
  </property>
  <property fmtid="{D5CDD505-2E9C-101B-9397-08002B2CF9AE}" pid="3" name="ICV">
    <vt:lpwstr>2E4568DE923D4D5995FCF4F5E13788DC</vt:lpwstr>
  </property>
</Properties>
</file>