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2"/>
        <w:rPr>
          <w:b w:val="0"/>
        </w:rPr>
      </w:pPr>
      <w:r>
        <w:t>Supplementary Material</w:t>
      </w:r>
    </w:p>
    <w:p>
      <w:pPr>
        <w:numPr>
          <w:ilvl w:val="0"/>
          <w:numId w:val="0"/>
        </w:numPr>
        <w:spacing w:before="240" w:after="240" w:line="240" w:lineRule="auto"/>
        <w:ind w:leftChars="0"/>
        <w:contextualSpacing w:val="0"/>
        <w:outlineLvl w:val="0"/>
        <w:rPr>
          <w:rFonts w:ascii="Times New Roman" w:hAnsi="Times New Roman" w:eastAsia="Cambria" w:cs="Times New Roman"/>
          <w:b w:val="0"/>
          <w:bCs/>
          <w:sz w:val="24"/>
          <w:szCs w:val="24"/>
          <w:lang w:val="en-US" w:eastAsia="en-US" w:bidi="ar-SA"/>
        </w:rPr>
      </w:pPr>
      <w:r>
        <w:rPr>
          <w:rFonts w:hint="eastAsia" w:ascii="Times New Roman" w:hAnsi="Times New Roman" w:eastAsia="Cambria" w:cs="Times New Roman"/>
          <w:b/>
          <w:bCs w:val="0"/>
          <w:sz w:val="24"/>
          <w:szCs w:val="24"/>
          <w:lang w:val="en-US" w:eastAsia="en-US" w:bidi="ar-SA"/>
        </w:rPr>
        <w:t>Additional file 1: Figure S1. The paired plot of the samples in GEO.</w:t>
      </w:r>
      <w:r>
        <w:rPr>
          <w:rFonts w:hint="eastAsia" w:ascii="Times New Roman" w:hAnsi="Times New Roman" w:eastAsia="宋体" w:cs="Times New Roman"/>
          <w:b w:val="0"/>
          <w:bCs/>
          <w:sz w:val="24"/>
          <w:szCs w:val="24"/>
          <w:lang w:val="en-US" w:eastAsia="zh-CN" w:bidi="ar-SA"/>
        </w:rPr>
        <w:t xml:space="preserve"> </w:t>
      </w:r>
      <w:r>
        <w:rPr>
          <w:rFonts w:hint="eastAsia" w:ascii="Times New Roman" w:hAnsi="Times New Roman" w:eastAsia="Cambria" w:cs="Times New Roman"/>
          <w:b w:val="0"/>
          <w:bCs/>
          <w:sz w:val="24"/>
          <w:szCs w:val="24"/>
          <w:lang w:val="en-US" w:eastAsia="en-US" w:bidi="ar-SA"/>
        </w:rPr>
        <w:t>CD8+T cells and plasma cells, resting Mast cells were lower in tumor group.</w:t>
      </w:r>
      <w:r>
        <w:rPr>
          <w:rFonts w:hint="eastAsia" w:eastAsia="宋体" w:cs="Times New Roman"/>
          <w:b w:val="0"/>
          <w:bCs/>
          <w:sz w:val="24"/>
          <w:szCs w:val="24"/>
          <w:lang w:val="en-US" w:eastAsia="zh-CN" w:bidi="ar-SA"/>
        </w:rPr>
        <w:t xml:space="preserve"> </w:t>
      </w:r>
      <w:r>
        <w:rPr>
          <w:rFonts w:hint="eastAsia" w:ascii="Times New Roman" w:hAnsi="Times New Roman" w:eastAsia="Cambria" w:cs="Times New Roman"/>
          <w:b w:val="0"/>
          <w:bCs/>
          <w:sz w:val="24"/>
          <w:szCs w:val="24"/>
          <w:lang w:val="en-US" w:eastAsia="en-US" w:bidi="ar-SA"/>
        </w:rPr>
        <w:t>On the contrary, activated Dendritic cells and  follicular helper T cells,</w:t>
      </w:r>
      <w:r>
        <w:rPr>
          <w:rFonts w:hint="eastAsia" w:eastAsia="宋体" w:cs="Times New Roman"/>
          <w:b w:val="0"/>
          <w:bCs/>
          <w:sz w:val="24"/>
          <w:szCs w:val="24"/>
          <w:lang w:val="en-US" w:eastAsia="zh-CN" w:bidi="ar-SA"/>
        </w:rPr>
        <w:t xml:space="preserve"> </w:t>
      </w:r>
      <w:r>
        <w:rPr>
          <w:rFonts w:hint="eastAsia" w:ascii="Times New Roman" w:hAnsi="Times New Roman" w:eastAsia="Cambria" w:cs="Times New Roman"/>
          <w:b w:val="0"/>
          <w:bCs/>
          <w:sz w:val="24"/>
          <w:szCs w:val="24"/>
          <w:lang w:val="en-US" w:eastAsia="en-US" w:bidi="ar-SA"/>
        </w:rPr>
        <w:t>macrophages M0 were higher in tumor group</w:t>
      </w:r>
      <w:r>
        <w:rPr>
          <w:rFonts w:hint="eastAsia" w:eastAsia="宋体" w:cs="Times New Roman"/>
          <w:b w:val="0"/>
          <w:bCs/>
          <w:sz w:val="24"/>
          <w:szCs w:val="24"/>
          <w:lang w:val="en-US" w:eastAsia="zh-CN" w:bidi="ar-SA"/>
        </w:rPr>
        <w:t>.</w:t>
      </w:r>
      <w:r>
        <w:rPr>
          <w:rFonts w:hint="eastAsia" w:ascii="Times New Roman" w:hAnsi="Times New Roman" w:eastAsia="Cambria" w:cs="Times New Roman"/>
          <w:b w:val="0"/>
          <w:bCs/>
          <w:sz w:val="24"/>
          <w:szCs w:val="24"/>
          <w:lang w:val="en-US" w:eastAsia="en-US" w:bidi="ar-SA"/>
        </w:rPr>
        <w:t xml:space="preserve"> *P&lt;0.05 is considered statistically significant.</w:t>
      </w:r>
    </w:p>
    <w:p>
      <w:pPr>
        <w:jc w:val="center"/>
        <w:rPr>
          <w:rFonts w:hint="eastAsia" w:eastAsia="宋体"/>
          <w:lang w:eastAsia="zh-CN"/>
        </w:rPr>
      </w:pPr>
      <w:r>
        <w:rPr>
          <w:rFonts w:hint="eastAsia" w:eastAsia="宋体"/>
          <w:lang w:eastAsia="zh-CN"/>
        </w:rPr>
        <w:drawing>
          <wp:inline distT="0" distB="0" distL="114300" distR="114300">
            <wp:extent cx="5039995" cy="2249170"/>
            <wp:effectExtent l="0" t="0" r="8255" b="17780"/>
            <wp:docPr id="5" name="图片 5" desc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1"/>
                    <pic:cNvPicPr>
                      <a:picLocks noChangeAspect="1"/>
                    </pic:cNvPicPr>
                  </pic:nvPicPr>
                  <pic:blipFill>
                    <a:blip r:embed="rId8"/>
                    <a:stretch>
                      <a:fillRect/>
                    </a:stretch>
                  </pic:blipFill>
                  <pic:spPr>
                    <a:xfrm>
                      <a:off x="0" y="0"/>
                      <a:ext cx="5039995" cy="2249170"/>
                    </a:xfrm>
                    <a:prstGeom prst="rect">
                      <a:avLst/>
                    </a:prstGeom>
                  </pic:spPr>
                </pic:pic>
              </a:graphicData>
            </a:graphic>
          </wp:inline>
        </w:drawing>
      </w:r>
    </w:p>
    <w:p>
      <w:pPr>
        <w:jc w:val="both"/>
        <w:rPr>
          <w:rFonts w:hint="eastAsia" w:cs="Times New Roman"/>
          <w:szCs w:val="24"/>
        </w:rPr>
      </w:pPr>
      <w:r>
        <w:rPr>
          <w:rFonts w:hint="eastAsia" w:cs="Times New Roman"/>
          <w:b/>
          <w:bCs/>
          <w:szCs w:val="24"/>
        </w:rPr>
        <w:t>Additional file 2:  Figure S2. Barplot of the 18 genes.</w:t>
      </w:r>
      <w:r>
        <w:rPr>
          <w:rFonts w:hint="eastAsia" w:eastAsia="宋体" w:cs="Times New Roman"/>
          <w:szCs w:val="24"/>
          <w:lang w:val="en-US" w:eastAsia="zh-CN"/>
        </w:rPr>
        <w:t xml:space="preserve"> </w:t>
      </w:r>
      <w:r>
        <w:rPr>
          <w:rFonts w:hint="eastAsia" w:cs="Times New Roman"/>
          <w:szCs w:val="24"/>
        </w:rPr>
        <w:t>18 genes were up-regulated in tumor group. All of them were statistically different. Type N represents normal group,</w:t>
      </w:r>
      <w:r>
        <w:rPr>
          <w:rFonts w:hint="eastAsia" w:eastAsia="宋体" w:cs="Times New Roman"/>
          <w:szCs w:val="24"/>
          <w:lang w:val="en-US" w:eastAsia="zh-CN"/>
        </w:rPr>
        <w:t xml:space="preserve"> </w:t>
      </w:r>
      <w:bookmarkStart w:id="0" w:name="_GoBack"/>
      <w:bookmarkEnd w:id="0"/>
      <w:r>
        <w:rPr>
          <w:rFonts w:hint="eastAsia" w:cs="Times New Roman"/>
          <w:szCs w:val="24"/>
        </w:rPr>
        <w:t>type T represents tumor group.</w:t>
      </w:r>
    </w:p>
    <w:p>
      <w:pPr>
        <w:keepNext/>
        <w:jc w:val="center"/>
        <w:rPr>
          <w:lang w:eastAsia="zh-CN" w:bidi="ar-SA"/>
        </w:rPr>
      </w:pPr>
      <w:r>
        <w:rPr>
          <w:lang w:eastAsia="zh-CN" w:bidi="ar-SA"/>
        </w:rPr>
        <w:drawing>
          <wp:inline distT="0" distB="0" distL="114300" distR="114300">
            <wp:extent cx="5039995" cy="2749550"/>
            <wp:effectExtent l="0" t="0" r="8255" b="12700"/>
            <wp:docPr id="6" name="图片 6" desc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2"/>
                    <pic:cNvPicPr>
                      <a:picLocks noChangeAspect="1"/>
                    </pic:cNvPicPr>
                  </pic:nvPicPr>
                  <pic:blipFill>
                    <a:blip r:embed="rId9"/>
                    <a:stretch>
                      <a:fillRect/>
                    </a:stretch>
                  </pic:blipFill>
                  <pic:spPr>
                    <a:xfrm>
                      <a:off x="0" y="0"/>
                      <a:ext cx="5039995" cy="2749550"/>
                    </a:xfrm>
                    <a:prstGeom prst="rect">
                      <a:avLst/>
                    </a:prstGeom>
                  </pic:spPr>
                </pic:pic>
              </a:graphicData>
            </a:graphic>
          </wp:inline>
        </w:drawing>
      </w:r>
    </w:p>
    <w:p>
      <w:pPr>
        <w:pStyle w:val="53"/>
        <w:spacing w:before="100" w:beforeAutospacing="1" w:after="100" w:afterAutospacing="1" w:line="240" w:lineRule="auto"/>
        <w:ind w:firstLine="0"/>
        <w:jc w:val="left"/>
        <w:rPr>
          <w:rFonts w:hint="default" w:ascii="Times New Roman" w:hAnsi="Times New Roman" w:eastAsia="宋体"/>
          <w:sz w:val="24"/>
          <w:szCs w:val="24"/>
          <w:lang w:val="en-US" w:eastAsia="zh-CN"/>
        </w:rPr>
      </w:pPr>
      <w:r>
        <w:rPr>
          <w:rFonts w:hint="eastAsia" w:ascii="Times New Roman" w:hAnsi="Times New Roman" w:eastAsia="宋体"/>
          <w:b/>
          <w:bCs/>
          <w:sz w:val="24"/>
          <w:szCs w:val="24"/>
          <w:lang w:eastAsia="zh-CN"/>
        </w:rPr>
        <w:t>Additional file 3:  Figure S3.</w:t>
      </w:r>
      <w:r>
        <w:rPr>
          <w:rFonts w:hint="eastAsia" w:ascii="Times New Roman" w:hAnsi="Times New Roman" w:eastAsia="宋体"/>
          <w:b/>
          <w:bCs/>
          <w:sz w:val="24"/>
          <w:szCs w:val="24"/>
          <w:lang w:val="en-US" w:eastAsia="zh-CN"/>
        </w:rPr>
        <w:t xml:space="preserve"> </w:t>
      </w:r>
      <w:r>
        <w:rPr>
          <w:rFonts w:hint="eastAsia" w:ascii="Times New Roman" w:hAnsi="Times New Roman" w:eastAsia="宋体"/>
          <w:b/>
          <w:bCs/>
          <w:sz w:val="24"/>
          <w:szCs w:val="24"/>
          <w:lang w:eastAsia="zh-CN"/>
        </w:rPr>
        <w:t>Heat map of 18 genes.</w:t>
      </w:r>
      <w:r>
        <w:rPr>
          <w:rFonts w:hint="eastAsia" w:ascii="Times New Roman" w:hAnsi="Times New Roman" w:eastAsia="宋体"/>
          <w:b/>
          <w:bCs/>
          <w:sz w:val="24"/>
          <w:szCs w:val="24"/>
          <w:lang w:val="en-US" w:eastAsia="zh-CN"/>
        </w:rPr>
        <w:t xml:space="preserve"> </w:t>
      </w:r>
      <w:r>
        <w:rPr>
          <w:rFonts w:hint="eastAsia" w:ascii="Times New Roman" w:hAnsi="Times New Roman" w:eastAsia="宋体"/>
          <w:sz w:val="24"/>
          <w:szCs w:val="24"/>
          <w:lang w:val="en-US" w:eastAsia="zh-CN"/>
        </w:rPr>
        <w:t>The 18 genes were up-regulated in tumor tissues.</w:t>
      </w:r>
    </w:p>
    <w:p>
      <w:pPr>
        <w:pStyle w:val="53"/>
        <w:spacing w:before="100" w:beforeAutospacing="1" w:after="100" w:afterAutospacing="1" w:line="240" w:lineRule="auto"/>
        <w:ind w:firstLine="0"/>
        <w:jc w:val="center"/>
        <w:rPr>
          <w:rFonts w:hint="eastAsia"/>
          <w:lang w:eastAsia="zh-CN" w:bidi="ar-SA"/>
        </w:rPr>
      </w:pPr>
      <w:r>
        <w:rPr>
          <w:rFonts w:hint="eastAsia" w:ascii="Times New Roman" w:hAnsi="Times New Roman" w:eastAsia="宋体"/>
          <w:sz w:val="24"/>
          <w:szCs w:val="24"/>
          <w:lang w:eastAsia="zh-CN"/>
        </w:rPr>
        <w:drawing>
          <wp:inline distT="0" distB="0" distL="114300" distR="114300">
            <wp:extent cx="5432425" cy="2889885"/>
            <wp:effectExtent l="0" t="0" r="15875" b="5715"/>
            <wp:docPr id="8" name="图片 8" descr="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3"/>
                    <pic:cNvPicPr>
                      <a:picLocks noChangeAspect="1"/>
                    </pic:cNvPicPr>
                  </pic:nvPicPr>
                  <pic:blipFill>
                    <a:blip r:embed="rId10"/>
                    <a:stretch>
                      <a:fillRect/>
                    </a:stretch>
                  </pic:blipFill>
                  <pic:spPr>
                    <a:xfrm>
                      <a:off x="0" y="0"/>
                      <a:ext cx="5432425" cy="2889885"/>
                    </a:xfrm>
                    <a:prstGeom prst="rect">
                      <a:avLst/>
                    </a:prstGeom>
                  </pic:spPr>
                </pic:pic>
              </a:graphicData>
            </a:graphic>
          </wp:inline>
        </w:drawing>
      </w:r>
    </w:p>
    <w:p>
      <w:pPr>
        <w:spacing w:before="240"/>
        <w:rPr>
          <w:rFonts w:hint="eastAsia" w:cs="Times New Roman"/>
          <w:b w:val="0"/>
          <w:bCs/>
          <w:szCs w:val="24"/>
        </w:rPr>
      </w:pPr>
      <w:r>
        <w:rPr>
          <w:rFonts w:hint="eastAsia" w:cs="Times New Roman"/>
          <w:b/>
          <w:bCs w:val="0"/>
          <w:szCs w:val="24"/>
        </w:rPr>
        <w:t>Additional file 4:  Figure S4.</w:t>
      </w:r>
      <w:r>
        <w:rPr>
          <w:rFonts w:hint="eastAsia" w:eastAsia="宋体" w:cs="Times New Roman"/>
          <w:b/>
          <w:bCs w:val="0"/>
          <w:szCs w:val="24"/>
          <w:lang w:val="en-US" w:eastAsia="zh-CN"/>
        </w:rPr>
        <w:t xml:space="preserve"> </w:t>
      </w:r>
      <w:r>
        <w:rPr>
          <w:rFonts w:hint="eastAsia" w:cs="Times New Roman"/>
          <w:b/>
          <w:bCs w:val="0"/>
          <w:szCs w:val="24"/>
        </w:rPr>
        <w:t>The verification of hub genes on protein level by THPA and GEPIA.</w:t>
      </w:r>
      <w:r>
        <w:rPr>
          <w:rFonts w:hint="eastAsia" w:cs="Times New Roman"/>
          <w:b w:val="0"/>
          <w:bCs/>
          <w:szCs w:val="24"/>
        </w:rPr>
        <w:t xml:space="preserve"> (A) In GEPIA the expression level of CD86, CYBB and C3AR1 was showed on the left. Translational level of GC and normal tissues were demonstrated on the upper side and the lower side in THPA. (B) Violin plot of CD86, CYBB and C3AR1 in different stages. (C-E) Co-expression of every two genes.</w:t>
      </w:r>
    </w:p>
    <w:p>
      <w:pPr>
        <w:spacing w:before="240"/>
        <w:rPr>
          <w:rFonts w:hint="eastAsia" w:eastAsia="宋体" w:cs="Times New Roman"/>
          <w:b/>
          <w:bCs w:val="0"/>
          <w:szCs w:val="24"/>
          <w:lang w:val="en-US" w:eastAsia="zh-CN"/>
        </w:rPr>
      </w:pPr>
    </w:p>
    <w:p>
      <w:pPr>
        <w:spacing w:before="240"/>
        <w:jc w:val="center"/>
        <w:rPr>
          <w:rFonts w:hint="eastAsia" w:eastAsia="宋体" w:cs="Times New Roman"/>
          <w:b w:val="0"/>
          <w:bCs/>
          <w:szCs w:val="24"/>
          <w:lang w:eastAsia="zh-CN"/>
        </w:rPr>
      </w:pPr>
      <w:r>
        <w:rPr>
          <w:rFonts w:hint="eastAsia" w:eastAsia="宋体" w:cs="Times New Roman"/>
          <w:b w:val="0"/>
          <w:bCs/>
          <w:szCs w:val="24"/>
          <w:lang w:eastAsia="zh-CN"/>
        </w:rPr>
        <w:drawing>
          <wp:inline distT="0" distB="0" distL="114300" distR="114300">
            <wp:extent cx="5039995" cy="4892040"/>
            <wp:effectExtent l="0" t="0" r="8255" b="3810"/>
            <wp:docPr id="4" name="图片 4" descr="Fig 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 S4"/>
                    <pic:cNvPicPr>
                      <a:picLocks noChangeAspect="1"/>
                    </pic:cNvPicPr>
                  </pic:nvPicPr>
                  <pic:blipFill>
                    <a:blip r:embed="rId11"/>
                    <a:stretch>
                      <a:fillRect/>
                    </a:stretch>
                  </pic:blipFill>
                  <pic:spPr>
                    <a:xfrm>
                      <a:off x="0" y="0"/>
                      <a:ext cx="5039995" cy="4892040"/>
                    </a:xfrm>
                    <a:prstGeom prst="rect">
                      <a:avLst/>
                    </a:prstGeom>
                  </pic:spPr>
                </pic:pic>
              </a:graphicData>
            </a:graphic>
          </wp:inline>
        </w:drawing>
      </w:r>
    </w:p>
    <w:p>
      <w:pPr>
        <w:numPr>
          <w:ilvl w:val="0"/>
          <w:numId w:val="0"/>
        </w:numPr>
        <w:spacing w:before="240" w:after="240" w:line="240" w:lineRule="auto"/>
        <w:ind w:leftChars="0"/>
        <w:contextualSpacing w:val="0"/>
        <w:outlineLvl w:val="0"/>
        <w:rPr>
          <w:rFonts w:cs="Times New Roman"/>
          <w:szCs w:val="24"/>
        </w:rPr>
      </w:pPr>
      <w:r>
        <w:rPr>
          <w:rFonts w:hint="eastAsia" w:ascii="Times New Roman" w:hAnsi="Times New Roman" w:eastAsia="Cambria" w:cs="Times New Roman"/>
          <w:b/>
          <w:sz w:val="24"/>
          <w:szCs w:val="24"/>
          <w:lang w:val="en-US" w:eastAsia="en-US" w:bidi="ar-SA"/>
        </w:rPr>
        <w:t xml:space="preserve">Additional file 5: Table S1. Other GO-Biological Process enrichment analysis of DEGs in </w:t>
      </w:r>
      <w:r>
        <w:rPr>
          <w:rFonts w:hint="eastAsia" w:eastAsia="宋体" w:cs="Times New Roman"/>
          <w:b/>
          <w:sz w:val="24"/>
          <w:szCs w:val="24"/>
          <w:lang w:val="en-US" w:eastAsia="zh-CN" w:bidi="ar-SA"/>
        </w:rPr>
        <w:t>GC</w:t>
      </w:r>
      <w:r>
        <w:rPr>
          <w:rFonts w:hint="eastAsia" w:ascii="Times New Roman" w:hAnsi="Times New Roman" w:eastAsia="Cambria" w:cs="Times New Roman"/>
          <w:b/>
          <w:sz w:val="24"/>
          <w:szCs w:val="24"/>
          <w:lang w:val="en-US" w:eastAsia="en-US" w:bidi="ar-SA"/>
        </w:rPr>
        <w:t xml:space="preserve"> samples.</w:t>
      </w:r>
    </w:p>
    <w:tbl>
      <w:tblPr>
        <w:tblStyle w:val="21"/>
        <w:tblW w:w="10264" w:type="dxa"/>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23"/>
        <w:gridCol w:w="1470"/>
        <w:gridCol w:w="5513"/>
        <w:gridCol w:w="803"/>
        <w:gridCol w:w="1355"/>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3" w:type="dxa"/>
            <w:tcBorders>
              <w:top w:val="single" w:color="auto" w:sz="12" w:space="0"/>
              <w:bottom w:val="single" w:color="auto" w:sz="12" w:space="0"/>
            </w:tcBorders>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Ontology</w:t>
            </w:r>
          </w:p>
        </w:tc>
        <w:tc>
          <w:tcPr>
            <w:tcW w:w="1470" w:type="dxa"/>
            <w:tcBorders>
              <w:top w:val="single" w:color="auto" w:sz="12" w:space="0"/>
              <w:bottom w:val="single" w:color="auto" w:sz="12" w:space="0"/>
            </w:tcBorders>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Term</w:t>
            </w:r>
          </w:p>
        </w:tc>
        <w:tc>
          <w:tcPr>
            <w:tcW w:w="5513" w:type="dxa"/>
            <w:tcBorders>
              <w:top w:val="single" w:color="auto" w:sz="12" w:space="0"/>
              <w:bottom w:val="single" w:color="auto" w:sz="12" w:space="0"/>
            </w:tcBorders>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Description</w:t>
            </w:r>
          </w:p>
        </w:tc>
        <w:tc>
          <w:tcPr>
            <w:tcW w:w="803" w:type="dxa"/>
            <w:tcBorders>
              <w:top w:val="single" w:color="auto" w:sz="12" w:space="0"/>
              <w:bottom w:val="single" w:color="auto" w:sz="12" w:space="0"/>
            </w:tcBorders>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Count</w:t>
            </w:r>
          </w:p>
        </w:tc>
        <w:tc>
          <w:tcPr>
            <w:tcW w:w="1355" w:type="dxa"/>
            <w:tcBorders>
              <w:top w:val="single" w:color="auto" w:sz="12" w:space="0"/>
              <w:bottom w:val="single" w:color="auto" w:sz="12" w:space="0"/>
            </w:tcBorders>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p.adjust</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3" w:type="dxa"/>
            <w:tcBorders>
              <w:top w:val="single" w:color="auto" w:sz="12" w:space="0"/>
            </w:tcBorders>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BP</w:t>
            </w:r>
          </w:p>
        </w:tc>
        <w:tc>
          <w:tcPr>
            <w:tcW w:w="1470" w:type="dxa"/>
            <w:tcBorders>
              <w:top w:val="single" w:color="auto" w:sz="12" w:space="0"/>
            </w:tcBorders>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GO:0060263</w:t>
            </w:r>
          </w:p>
        </w:tc>
        <w:tc>
          <w:tcPr>
            <w:tcW w:w="5513" w:type="dxa"/>
            <w:tcBorders>
              <w:top w:val="single" w:color="auto" w:sz="12" w:space="0"/>
            </w:tcBorders>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regulation of respiratory burst</w:t>
            </w:r>
          </w:p>
        </w:tc>
        <w:tc>
          <w:tcPr>
            <w:tcW w:w="803" w:type="dxa"/>
            <w:tcBorders>
              <w:top w:val="single" w:color="auto" w:sz="12" w:space="0"/>
            </w:tcBorders>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2</w:t>
            </w:r>
          </w:p>
        </w:tc>
        <w:tc>
          <w:tcPr>
            <w:tcW w:w="1355" w:type="dxa"/>
            <w:tcBorders>
              <w:top w:val="single" w:color="auto" w:sz="12" w:space="0"/>
            </w:tcBorders>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3.49E-03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BP</w:t>
            </w:r>
          </w:p>
        </w:tc>
        <w:tc>
          <w:tcPr>
            <w:tcW w:w="1470"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GO:0045076</w:t>
            </w:r>
          </w:p>
        </w:tc>
        <w:tc>
          <w:tcPr>
            <w:tcW w:w="5513"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regulation of interleukin-2 biosynthetic process</w:t>
            </w:r>
          </w:p>
        </w:tc>
        <w:tc>
          <w:tcPr>
            <w:tcW w:w="80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2</w:t>
            </w:r>
          </w:p>
        </w:tc>
        <w:tc>
          <w:tcPr>
            <w:tcW w:w="1355"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4.18E-03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BP</w:t>
            </w:r>
          </w:p>
        </w:tc>
        <w:tc>
          <w:tcPr>
            <w:tcW w:w="1470"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GO:0042535</w:t>
            </w:r>
          </w:p>
        </w:tc>
        <w:tc>
          <w:tcPr>
            <w:tcW w:w="5513"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positive regulation of tumor necrosis factor biosynthetic process</w:t>
            </w:r>
          </w:p>
        </w:tc>
        <w:tc>
          <w:tcPr>
            <w:tcW w:w="80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2</w:t>
            </w:r>
          </w:p>
        </w:tc>
        <w:tc>
          <w:tcPr>
            <w:tcW w:w="1355"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4.19E-03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BP</w:t>
            </w:r>
          </w:p>
        </w:tc>
        <w:tc>
          <w:tcPr>
            <w:tcW w:w="1470"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GO:0002688</w:t>
            </w:r>
          </w:p>
        </w:tc>
        <w:tc>
          <w:tcPr>
            <w:tcW w:w="5513"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regulation of leukocyte chemotaxis</w:t>
            </w:r>
          </w:p>
        </w:tc>
        <w:tc>
          <w:tcPr>
            <w:tcW w:w="80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3</w:t>
            </w:r>
          </w:p>
        </w:tc>
        <w:tc>
          <w:tcPr>
            <w:tcW w:w="1355"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4.19E-03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BP</w:t>
            </w:r>
          </w:p>
        </w:tc>
        <w:tc>
          <w:tcPr>
            <w:tcW w:w="1470"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GO:0042035</w:t>
            </w:r>
          </w:p>
        </w:tc>
        <w:tc>
          <w:tcPr>
            <w:tcW w:w="5513"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regulation of cytokine biosynthetic process</w:t>
            </w:r>
          </w:p>
        </w:tc>
        <w:tc>
          <w:tcPr>
            <w:tcW w:w="80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3</w:t>
            </w:r>
          </w:p>
        </w:tc>
        <w:tc>
          <w:tcPr>
            <w:tcW w:w="1355"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4.19E-03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BP</w:t>
            </w:r>
          </w:p>
        </w:tc>
        <w:tc>
          <w:tcPr>
            <w:tcW w:w="1470"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GO:0042094</w:t>
            </w:r>
          </w:p>
        </w:tc>
        <w:tc>
          <w:tcPr>
            <w:tcW w:w="5513"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interleukin-2 biosynthetic process</w:t>
            </w:r>
          </w:p>
        </w:tc>
        <w:tc>
          <w:tcPr>
            <w:tcW w:w="80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2</w:t>
            </w:r>
          </w:p>
        </w:tc>
        <w:tc>
          <w:tcPr>
            <w:tcW w:w="1355"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4.58E-03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BP</w:t>
            </w:r>
          </w:p>
        </w:tc>
        <w:tc>
          <w:tcPr>
            <w:tcW w:w="1470"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GO:0042089</w:t>
            </w:r>
          </w:p>
        </w:tc>
        <w:tc>
          <w:tcPr>
            <w:tcW w:w="5513"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cytokine biosynthetic process</w:t>
            </w:r>
          </w:p>
        </w:tc>
        <w:tc>
          <w:tcPr>
            <w:tcW w:w="80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3</w:t>
            </w:r>
          </w:p>
        </w:tc>
        <w:tc>
          <w:tcPr>
            <w:tcW w:w="1355"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4.58E-03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BP</w:t>
            </w:r>
          </w:p>
        </w:tc>
        <w:tc>
          <w:tcPr>
            <w:tcW w:w="1470"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GO:0042107</w:t>
            </w:r>
          </w:p>
        </w:tc>
        <w:tc>
          <w:tcPr>
            <w:tcW w:w="5513"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cytokine metabolic process</w:t>
            </w:r>
          </w:p>
        </w:tc>
        <w:tc>
          <w:tcPr>
            <w:tcW w:w="80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3</w:t>
            </w:r>
          </w:p>
        </w:tc>
        <w:tc>
          <w:tcPr>
            <w:tcW w:w="1355"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4.58E-03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BP</w:t>
            </w:r>
          </w:p>
        </w:tc>
        <w:tc>
          <w:tcPr>
            <w:tcW w:w="1470"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GO:0032753</w:t>
            </w:r>
          </w:p>
        </w:tc>
        <w:tc>
          <w:tcPr>
            <w:tcW w:w="5513"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positive regulation of interleukin-4 production</w:t>
            </w:r>
          </w:p>
        </w:tc>
        <w:tc>
          <w:tcPr>
            <w:tcW w:w="80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2</w:t>
            </w:r>
          </w:p>
        </w:tc>
        <w:tc>
          <w:tcPr>
            <w:tcW w:w="1355"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4.58E-03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BP</w:t>
            </w:r>
          </w:p>
        </w:tc>
        <w:tc>
          <w:tcPr>
            <w:tcW w:w="1470"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GO:0032103</w:t>
            </w:r>
          </w:p>
        </w:tc>
        <w:tc>
          <w:tcPr>
            <w:tcW w:w="5513"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positive regulation of response to external stimulus</w:t>
            </w:r>
          </w:p>
        </w:tc>
        <w:tc>
          <w:tcPr>
            <w:tcW w:w="80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4</w:t>
            </w:r>
          </w:p>
        </w:tc>
        <w:tc>
          <w:tcPr>
            <w:tcW w:w="1355"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4.58E-03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12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BP</w:t>
            </w:r>
          </w:p>
        </w:tc>
        <w:tc>
          <w:tcPr>
            <w:tcW w:w="1470"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GO:0051251</w:t>
            </w:r>
          </w:p>
        </w:tc>
        <w:tc>
          <w:tcPr>
            <w:tcW w:w="5513"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positive regulation of lymphocyte activation</w:t>
            </w:r>
          </w:p>
        </w:tc>
        <w:tc>
          <w:tcPr>
            <w:tcW w:w="80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4</w:t>
            </w:r>
          </w:p>
        </w:tc>
        <w:tc>
          <w:tcPr>
            <w:tcW w:w="1355"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5.03E-03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BP</w:t>
            </w:r>
          </w:p>
        </w:tc>
        <w:tc>
          <w:tcPr>
            <w:tcW w:w="1470"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GO:0090025</w:t>
            </w:r>
          </w:p>
        </w:tc>
        <w:tc>
          <w:tcPr>
            <w:tcW w:w="5513"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regulation of monocyte chemotaxis</w:t>
            </w:r>
          </w:p>
        </w:tc>
        <w:tc>
          <w:tcPr>
            <w:tcW w:w="80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2</w:t>
            </w:r>
          </w:p>
        </w:tc>
        <w:tc>
          <w:tcPr>
            <w:tcW w:w="1355"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5.03E-03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BP</w:t>
            </w:r>
          </w:p>
        </w:tc>
        <w:tc>
          <w:tcPr>
            <w:tcW w:w="1470"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GO:0010758</w:t>
            </w:r>
          </w:p>
        </w:tc>
        <w:tc>
          <w:tcPr>
            <w:tcW w:w="5513"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regulation of macrophage chemotaxis</w:t>
            </w:r>
          </w:p>
        </w:tc>
        <w:tc>
          <w:tcPr>
            <w:tcW w:w="80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2</w:t>
            </w:r>
          </w:p>
        </w:tc>
        <w:tc>
          <w:tcPr>
            <w:tcW w:w="1355"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5.28E-03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BP</w:t>
            </w:r>
          </w:p>
        </w:tc>
        <w:tc>
          <w:tcPr>
            <w:tcW w:w="1470"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GO:0032673</w:t>
            </w:r>
          </w:p>
        </w:tc>
        <w:tc>
          <w:tcPr>
            <w:tcW w:w="5513"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regulation of interleukin-4 production</w:t>
            </w:r>
          </w:p>
        </w:tc>
        <w:tc>
          <w:tcPr>
            <w:tcW w:w="80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2</w:t>
            </w:r>
          </w:p>
        </w:tc>
        <w:tc>
          <w:tcPr>
            <w:tcW w:w="1355"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5.53E-03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BP</w:t>
            </w:r>
          </w:p>
        </w:tc>
        <w:tc>
          <w:tcPr>
            <w:tcW w:w="1470"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GO:0006909</w:t>
            </w:r>
          </w:p>
        </w:tc>
        <w:tc>
          <w:tcPr>
            <w:tcW w:w="5513"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phagocytosis</w:t>
            </w:r>
          </w:p>
        </w:tc>
        <w:tc>
          <w:tcPr>
            <w:tcW w:w="80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4</w:t>
            </w:r>
          </w:p>
        </w:tc>
        <w:tc>
          <w:tcPr>
            <w:tcW w:w="1355"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6.46E-03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BP</w:t>
            </w:r>
          </w:p>
        </w:tc>
        <w:tc>
          <w:tcPr>
            <w:tcW w:w="1470"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GO:0032743</w:t>
            </w:r>
          </w:p>
        </w:tc>
        <w:tc>
          <w:tcPr>
            <w:tcW w:w="5513"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positive regulation of interleukin-2 production</w:t>
            </w:r>
          </w:p>
        </w:tc>
        <w:tc>
          <w:tcPr>
            <w:tcW w:w="80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2</w:t>
            </w:r>
          </w:p>
        </w:tc>
        <w:tc>
          <w:tcPr>
            <w:tcW w:w="1355"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6.46E-03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BP</w:t>
            </w:r>
          </w:p>
        </w:tc>
        <w:tc>
          <w:tcPr>
            <w:tcW w:w="1470"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GO:0002696</w:t>
            </w:r>
          </w:p>
        </w:tc>
        <w:tc>
          <w:tcPr>
            <w:tcW w:w="5513"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positive regulation of leukocyte activation</w:t>
            </w:r>
          </w:p>
        </w:tc>
        <w:tc>
          <w:tcPr>
            <w:tcW w:w="80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4</w:t>
            </w:r>
          </w:p>
        </w:tc>
        <w:tc>
          <w:tcPr>
            <w:tcW w:w="1355"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6.90E-03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BP</w:t>
            </w:r>
          </w:p>
        </w:tc>
        <w:tc>
          <w:tcPr>
            <w:tcW w:w="1470"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GO:0032633</w:t>
            </w:r>
          </w:p>
        </w:tc>
        <w:tc>
          <w:tcPr>
            <w:tcW w:w="5513"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interleukin-4 production</w:t>
            </w:r>
          </w:p>
        </w:tc>
        <w:tc>
          <w:tcPr>
            <w:tcW w:w="80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2</w:t>
            </w:r>
          </w:p>
        </w:tc>
        <w:tc>
          <w:tcPr>
            <w:tcW w:w="1355"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6.97E-03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BP</w:t>
            </w:r>
          </w:p>
        </w:tc>
        <w:tc>
          <w:tcPr>
            <w:tcW w:w="1470"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GO:0032680</w:t>
            </w:r>
          </w:p>
        </w:tc>
        <w:tc>
          <w:tcPr>
            <w:tcW w:w="5513"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regulation of tumor necrosis factor production</w:t>
            </w:r>
          </w:p>
        </w:tc>
        <w:tc>
          <w:tcPr>
            <w:tcW w:w="80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3</w:t>
            </w:r>
          </w:p>
        </w:tc>
        <w:tc>
          <w:tcPr>
            <w:tcW w:w="1355"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6.97E-03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BP</w:t>
            </w:r>
          </w:p>
        </w:tc>
        <w:tc>
          <w:tcPr>
            <w:tcW w:w="1470"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GO:0050867</w:t>
            </w:r>
          </w:p>
        </w:tc>
        <w:tc>
          <w:tcPr>
            <w:tcW w:w="5513"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positive regulation of cell activation</w:t>
            </w:r>
          </w:p>
        </w:tc>
        <w:tc>
          <w:tcPr>
            <w:tcW w:w="80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4</w:t>
            </w:r>
          </w:p>
        </w:tc>
        <w:tc>
          <w:tcPr>
            <w:tcW w:w="1355"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6.97E-03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BP</w:t>
            </w:r>
          </w:p>
        </w:tc>
        <w:tc>
          <w:tcPr>
            <w:tcW w:w="1470"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GO:0042533</w:t>
            </w:r>
          </w:p>
        </w:tc>
        <w:tc>
          <w:tcPr>
            <w:tcW w:w="5513"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tumor necrosis factor biosynthetic process</w:t>
            </w:r>
          </w:p>
        </w:tc>
        <w:tc>
          <w:tcPr>
            <w:tcW w:w="80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2</w:t>
            </w:r>
          </w:p>
        </w:tc>
        <w:tc>
          <w:tcPr>
            <w:tcW w:w="1355"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6.97E-03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BP</w:t>
            </w:r>
          </w:p>
        </w:tc>
        <w:tc>
          <w:tcPr>
            <w:tcW w:w="1470"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GO:0042534</w:t>
            </w:r>
          </w:p>
        </w:tc>
        <w:tc>
          <w:tcPr>
            <w:tcW w:w="5513"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regulation of tumor necrosis factor biosynthetic process</w:t>
            </w:r>
          </w:p>
        </w:tc>
        <w:tc>
          <w:tcPr>
            <w:tcW w:w="80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2</w:t>
            </w:r>
          </w:p>
        </w:tc>
        <w:tc>
          <w:tcPr>
            <w:tcW w:w="1355"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6.97E-03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BP</w:t>
            </w:r>
          </w:p>
        </w:tc>
        <w:tc>
          <w:tcPr>
            <w:tcW w:w="1470"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GO:0032640</w:t>
            </w:r>
          </w:p>
        </w:tc>
        <w:tc>
          <w:tcPr>
            <w:tcW w:w="5513"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tumor necrosis factor production</w:t>
            </w:r>
          </w:p>
        </w:tc>
        <w:tc>
          <w:tcPr>
            <w:tcW w:w="80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3</w:t>
            </w:r>
          </w:p>
        </w:tc>
        <w:tc>
          <w:tcPr>
            <w:tcW w:w="1355"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6.97E-03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BP</w:t>
            </w:r>
          </w:p>
        </w:tc>
        <w:tc>
          <w:tcPr>
            <w:tcW w:w="1470"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GO:0045619</w:t>
            </w:r>
          </w:p>
        </w:tc>
        <w:tc>
          <w:tcPr>
            <w:tcW w:w="5513"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regulation of lymphocyte differentiation</w:t>
            </w:r>
          </w:p>
        </w:tc>
        <w:tc>
          <w:tcPr>
            <w:tcW w:w="80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3</w:t>
            </w:r>
          </w:p>
        </w:tc>
        <w:tc>
          <w:tcPr>
            <w:tcW w:w="1355"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7.46E-03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BP</w:t>
            </w:r>
          </w:p>
        </w:tc>
        <w:tc>
          <w:tcPr>
            <w:tcW w:w="1470"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GO:1902622</w:t>
            </w:r>
          </w:p>
        </w:tc>
        <w:tc>
          <w:tcPr>
            <w:tcW w:w="5513"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regulation of neutrophil migration</w:t>
            </w:r>
          </w:p>
        </w:tc>
        <w:tc>
          <w:tcPr>
            <w:tcW w:w="80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2</w:t>
            </w:r>
          </w:p>
        </w:tc>
        <w:tc>
          <w:tcPr>
            <w:tcW w:w="1355"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7.46E-03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BP</w:t>
            </w:r>
          </w:p>
        </w:tc>
        <w:tc>
          <w:tcPr>
            <w:tcW w:w="1470"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GO:0002478</w:t>
            </w:r>
          </w:p>
        </w:tc>
        <w:tc>
          <w:tcPr>
            <w:tcW w:w="5513"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antigen processing and presentation of exogenous peptide antigen</w:t>
            </w:r>
          </w:p>
        </w:tc>
        <w:tc>
          <w:tcPr>
            <w:tcW w:w="80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3</w:t>
            </w:r>
          </w:p>
        </w:tc>
        <w:tc>
          <w:tcPr>
            <w:tcW w:w="1355"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7.80E-03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BP</w:t>
            </w:r>
          </w:p>
        </w:tc>
        <w:tc>
          <w:tcPr>
            <w:tcW w:w="1470"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GO:0002695</w:t>
            </w:r>
          </w:p>
        </w:tc>
        <w:tc>
          <w:tcPr>
            <w:tcW w:w="5513"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negative regulation of leukocyte activation</w:t>
            </w:r>
          </w:p>
        </w:tc>
        <w:tc>
          <w:tcPr>
            <w:tcW w:w="80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3</w:t>
            </w:r>
          </w:p>
        </w:tc>
        <w:tc>
          <w:tcPr>
            <w:tcW w:w="1355"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7.80E-03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BP</w:t>
            </w:r>
          </w:p>
        </w:tc>
        <w:tc>
          <w:tcPr>
            <w:tcW w:w="1470"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GO:0048246</w:t>
            </w:r>
          </w:p>
        </w:tc>
        <w:tc>
          <w:tcPr>
            <w:tcW w:w="5513"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macrophage chemotaxis</w:t>
            </w:r>
          </w:p>
        </w:tc>
        <w:tc>
          <w:tcPr>
            <w:tcW w:w="80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2</w:t>
            </w:r>
          </w:p>
        </w:tc>
        <w:tc>
          <w:tcPr>
            <w:tcW w:w="1355"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7.80E-03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BP</w:t>
            </w:r>
          </w:p>
        </w:tc>
        <w:tc>
          <w:tcPr>
            <w:tcW w:w="1470"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GO:1905521</w:t>
            </w:r>
          </w:p>
        </w:tc>
        <w:tc>
          <w:tcPr>
            <w:tcW w:w="5513"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regulation of macrophage migration</w:t>
            </w:r>
          </w:p>
        </w:tc>
        <w:tc>
          <w:tcPr>
            <w:tcW w:w="80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2</w:t>
            </w:r>
          </w:p>
        </w:tc>
        <w:tc>
          <w:tcPr>
            <w:tcW w:w="1355"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8.05E-03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BP</w:t>
            </w:r>
          </w:p>
        </w:tc>
        <w:tc>
          <w:tcPr>
            <w:tcW w:w="1470"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GO:0019884</w:t>
            </w:r>
          </w:p>
        </w:tc>
        <w:tc>
          <w:tcPr>
            <w:tcW w:w="5513"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antigen processing and presentation of exogenous antigen</w:t>
            </w:r>
          </w:p>
        </w:tc>
        <w:tc>
          <w:tcPr>
            <w:tcW w:w="80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3</w:t>
            </w:r>
          </w:p>
        </w:tc>
        <w:tc>
          <w:tcPr>
            <w:tcW w:w="1355"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8.26E-03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BP</w:t>
            </w:r>
          </w:p>
        </w:tc>
        <w:tc>
          <w:tcPr>
            <w:tcW w:w="1470"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GO:0048002</w:t>
            </w:r>
          </w:p>
        </w:tc>
        <w:tc>
          <w:tcPr>
            <w:tcW w:w="5513"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antigen processing and presentation of peptide antigen</w:t>
            </w:r>
          </w:p>
        </w:tc>
        <w:tc>
          <w:tcPr>
            <w:tcW w:w="80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3</w:t>
            </w:r>
          </w:p>
        </w:tc>
        <w:tc>
          <w:tcPr>
            <w:tcW w:w="1355"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9.04E-03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BP</w:t>
            </w:r>
          </w:p>
        </w:tc>
        <w:tc>
          <w:tcPr>
            <w:tcW w:w="1470"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GO:0045088</w:t>
            </w:r>
          </w:p>
        </w:tc>
        <w:tc>
          <w:tcPr>
            <w:tcW w:w="5513"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regulation of innate immune response</w:t>
            </w:r>
          </w:p>
        </w:tc>
        <w:tc>
          <w:tcPr>
            <w:tcW w:w="80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4</w:t>
            </w:r>
          </w:p>
        </w:tc>
        <w:tc>
          <w:tcPr>
            <w:tcW w:w="1355"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9.43E-03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BP</w:t>
            </w:r>
          </w:p>
        </w:tc>
        <w:tc>
          <w:tcPr>
            <w:tcW w:w="1470"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GO:0002685</w:t>
            </w:r>
          </w:p>
        </w:tc>
        <w:tc>
          <w:tcPr>
            <w:tcW w:w="5513"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regulation of leukocyte migration</w:t>
            </w:r>
          </w:p>
        </w:tc>
        <w:tc>
          <w:tcPr>
            <w:tcW w:w="80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3</w:t>
            </w:r>
          </w:p>
        </w:tc>
        <w:tc>
          <w:tcPr>
            <w:tcW w:w="1355"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9.45E-03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BP</w:t>
            </w:r>
          </w:p>
        </w:tc>
        <w:tc>
          <w:tcPr>
            <w:tcW w:w="1470"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GO:0002697</w:t>
            </w:r>
          </w:p>
        </w:tc>
        <w:tc>
          <w:tcPr>
            <w:tcW w:w="5513"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regulation of immune effector process</w:t>
            </w:r>
          </w:p>
        </w:tc>
        <w:tc>
          <w:tcPr>
            <w:tcW w:w="80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4</w:t>
            </w:r>
          </w:p>
        </w:tc>
        <w:tc>
          <w:tcPr>
            <w:tcW w:w="1355"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9.45E-03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BP</w:t>
            </w:r>
          </w:p>
        </w:tc>
        <w:tc>
          <w:tcPr>
            <w:tcW w:w="1470"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GO:0002221</w:t>
            </w:r>
          </w:p>
        </w:tc>
        <w:tc>
          <w:tcPr>
            <w:tcW w:w="5513"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pattern recognition receptor signaling pathway</w:t>
            </w:r>
          </w:p>
        </w:tc>
        <w:tc>
          <w:tcPr>
            <w:tcW w:w="80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3</w:t>
            </w:r>
          </w:p>
        </w:tc>
        <w:tc>
          <w:tcPr>
            <w:tcW w:w="1355"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9.45E-03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BP</w:t>
            </w:r>
          </w:p>
        </w:tc>
        <w:tc>
          <w:tcPr>
            <w:tcW w:w="1470"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GO:0050866</w:t>
            </w:r>
          </w:p>
        </w:tc>
        <w:tc>
          <w:tcPr>
            <w:tcW w:w="5513"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negative regulation of cell activation</w:t>
            </w:r>
          </w:p>
        </w:tc>
        <w:tc>
          <w:tcPr>
            <w:tcW w:w="80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3</w:t>
            </w:r>
          </w:p>
        </w:tc>
        <w:tc>
          <w:tcPr>
            <w:tcW w:w="1355"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9.49E-03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BP</w:t>
            </w:r>
          </w:p>
        </w:tc>
        <w:tc>
          <w:tcPr>
            <w:tcW w:w="1470"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GO:0042110</w:t>
            </w:r>
          </w:p>
        </w:tc>
        <w:tc>
          <w:tcPr>
            <w:tcW w:w="5513"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T cell activation</w:t>
            </w:r>
          </w:p>
        </w:tc>
        <w:tc>
          <w:tcPr>
            <w:tcW w:w="80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4</w:t>
            </w:r>
          </w:p>
        </w:tc>
        <w:tc>
          <w:tcPr>
            <w:tcW w:w="1355"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9.49E-03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BP</w:t>
            </w:r>
          </w:p>
        </w:tc>
        <w:tc>
          <w:tcPr>
            <w:tcW w:w="1470"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GO:0050870</w:t>
            </w:r>
          </w:p>
        </w:tc>
        <w:tc>
          <w:tcPr>
            <w:tcW w:w="5513"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positive regulation of T cell activation</w:t>
            </w:r>
          </w:p>
        </w:tc>
        <w:tc>
          <w:tcPr>
            <w:tcW w:w="80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3</w:t>
            </w:r>
          </w:p>
        </w:tc>
        <w:tc>
          <w:tcPr>
            <w:tcW w:w="1355"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9.64E-03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BP</w:t>
            </w:r>
          </w:p>
        </w:tc>
        <w:tc>
          <w:tcPr>
            <w:tcW w:w="1470"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GO:0002429</w:t>
            </w:r>
          </w:p>
        </w:tc>
        <w:tc>
          <w:tcPr>
            <w:tcW w:w="5513"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immune response-activating cell surface receptor signaling pathway</w:t>
            </w:r>
          </w:p>
        </w:tc>
        <w:tc>
          <w:tcPr>
            <w:tcW w:w="80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4</w:t>
            </w:r>
          </w:p>
        </w:tc>
        <w:tc>
          <w:tcPr>
            <w:tcW w:w="1355"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9.85E-03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12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BP</w:t>
            </w:r>
          </w:p>
        </w:tc>
        <w:tc>
          <w:tcPr>
            <w:tcW w:w="1470"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GO:0060263</w:t>
            </w:r>
          </w:p>
        </w:tc>
        <w:tc>
          <w:tcPr>
            <w:tcW w:w="5513"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regulation of respiratory burst</w:t>
            </w:r>
          </w:p>
        </w:tc>
        <w:tc>
          <w:tcPr>
            <w:tcW w:w="803" w:type="dxa"/>
            <w:noWrap w:val="0"/>
            <w:vAlign w:val="top"/>
          </w:tcPr>
          <w:p>
            <w:pPr>
              <w:widowControl w:val="0"/>
              <w:spacing w:before="0" w:after="0" w:line="240" w:lineRule="auto"/>
              <w:jc w:val="center"/>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2</w:t>
            </w:r>
          </w:p>
        </w:tc>
        <w:tc>
          <w:tcPr>
            <w:tcW w:w="1355" w:type="dxa"/>
            <w:noWrap w:val="0"/>
            <w:vAlign w:val="top"/>
          </w:tcPr>
          <w:p>
            <w:pPr>
              <w:widowControl w:val="0"/>
              <w:spacing w:before="0" w:after="0" w:line="240" w:lineRule="auto"/>
              <w:jc w:val="both"/>
              <w:rPr>
                <w:rFonts w:hint="default" w:ascii="Times New Roman" w:hAnsi="Times New Roman" w:eastAsia="等线" w:cs="Times New Roman"/>
                <w:color w:val="000000"/>
                <w:kern w:val="2"/>
                <w:sz w:val="24"/>
                <w:szCs w:val="24"/>
                <w:lang w:eastAsia="zh-CN"/>
              </w:rPr>
            </w:pPr>
            <w:r>
              <w:rPr>
                <w:rFonts w:hint="default" w:ascii="Times New Roman" w:hAnsi="Times New Roman" w:eastAsia="等线" w:cs="Times New Roman"/>
                <w:color w:val="000000"/>
                <w:kern w:val="2"/>
                <w:sz w:val="24"/>
                <w:szCs w:val="24"/>
                <w:lang w:eastAsia="zh-CN"/>
              </w:rPr>
              <w:t>3.49E-03</w:t>
            </w:r>
          </w:p>
        </w:tc>
      </w:tr>
    </w:tbl>
    <w:p>
      <w:pPr>
        <w:jc w:val="both"/>
        <w:rPr>
          <w:rFonts w:hint="eastAsia" w:cs="Times New Roman"/>
          <w:szCs w:val="24"/>
        </w:rPr>
      </w:pPr>
      <w:r>
        <w:rPr>
          <w:rFonts w:hint="eastAsia" w:cs="Times New Roman"/>
          <w:szCs w:val="24"/>
        </w:rPr>
        <w:t>P&lt;0.01 is considered statistically significant.</w:t>
      </w:r>
    </w:p>
    <w:sectPr>
      <w:headerReference r:id="rId4" w:type="first"/>
      <w:footerReference r:id="rId5" w:type="default"/>
      <w:headerReference r:id="rId3" w:type="even"/>
      <w:footerReference r:id="rId6" w:type="even"/>
      <w:pgSz w:w="12240" w:h="15840"/>
      <w:pgMar w:top="1138" w:right="1181" w:bottom="1138" w:left="1282" w:header="720" w:footer="72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Palatino Linotype">
    <w:panose1 w:val="02040502050505030304"/>
    <w:charset w:val="00"/>
    <w:family w:val="roman"/>
    <w:pitch w:val="default"/>
    <w:sig w:usb0="E0000287" w:usb1="40000013" w:usb2="00000000" w:usb3="00000000" w:csb0="2000019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b/>
        <w:sz w:val="20"/>
        <w:szCs w:val="24"/>
      </w:rPr>
    </w:pPr>
    <w:r>
      <w:rPr>
        <w:lang w:val="en-GB" w:eastAsia="en-GB"/>
      </w:rPr>
      <mc:AlternateContent>
        <mc:Choice Requires="wps">
          <w:drawing>
            <wp:anchor distT="0" distB="0" distL="114300" distR="114300" simplePos="0" relativeHeight="251646976" behindDoc="0" locked="0" layoutInCell="1" allowOverlap="1">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3</w:t>
                          </w:r>
                          <w:r>
                            <w:rPr>
                              <w:color w:val="000000" w:themeColor="text1"/>
                              <w:szCs w:val="40"/>
                              <w14:textFill>
                                <w14:solidFill>
                                  <w14:schemeClr w14:val="tx1"/>
                                </w14:solidFill>
                              </w14:textFill>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56" o:spid="_x0000_s1026" o:spt="202" type="#_x0000_t202" style="position:absolute;left:0pt;margin-left:0pt;margin-top:0pt;height:31.15pt;width:118.8pt;mso-position-horizontal-relative:page;mso-position-vertical-relative:page;z-index:251646976;mso-width-relative:page;mso-height-relative:page;" filled="f" stroked="f" coordsize="21600,21600" o:gfxdata="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MV0Qi0gAAAAQBAAAPAAAAAAAAAAEA&#10;IAAAACIAAABkcnMvZG93bnJldi54bWxQSwECFAAUAAAACACHTuJAXLnphhUCAAAnBAAADgAAAAAA&#10;AAABACAAAAAhAQAAZHJzL2Uyb0RvYy54bWxQSwUGAAAAAAYABgBZAQAAqAUAAAAA&#10;">
              <v:fill on="f" focussize="0,0"/>
              <v:stroke on="f" weight="0.5pt"/>
              <v:imagedata o:title=""/>
              <o:lock v:ext="edit" aspectratio="f"/>
              <v:textbox style="mso-fit-shape-to-text:t;">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3</w:t>
                    </w:r>
                    <w:r>
                      <w:rPr>
                        <w:color w:val="000000" w:themeColor="text1"/>
                        <w:szCs w:val="40"/>
                        <w14:textFill>
                          <w14:solidFill>
                            <w14:schemeClr w14:val="tx1"/>
                          </w14:solidFill>
                        </w14:textFill>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color w:val="C00000"/>
        <w:szCs w:val="24"/>
      </w:rPr>
    </w:pPr>
    <w:r>
      <w:rPr>
        <w:lang w:val="en-GB" w:eastAsia="en-GB"/>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2</w:t>
                          </w:r>
                          <w:r>
                            <w:rPr>
                              <w:color w:val="000000" w:themeColor="text1"/>
                              <w:szCs w:val="40"/>
                              <w14:textFill>
                                <w14:solidFill>
                                  <w14:schemeClr w14:val="tx1"/>
                                </w14:solidFill>
                              </w14:textFill>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1" o:spid="_x0000_s1026" o:spt="202" type="#_x0000_t202" style="position:absolute;left:0pt;margin-left:434.15pt;margin-top:735.1pt;height:31.15pt;width:118.8pt;mso-position-horizontal-relative:page;mso-position-vertical-relative:page;z-index:251659264;mso-width-relative:page;mso-height-relative:page;" filled="f" stroked="f" coordsize="21600,21600" o:gfxdata="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MV0Qi0gAAAAQBAAAPAAAAAAAAAAEA&#10;IAAAACIAAABkcnMvZG93bnJldi54bWxQSwECFAAUAAAACACHTuJAknen5xUCAAAlBAAADgAAAAAA&#10;AAABACAAAAAhAQAAZHJzL2Uyb0RvYy54bWxQSwUGAAAAAAYABgBZAQAAqAUAAAAA&#10;">
              <v:fill on="f" focussize="0,0"/>
              <v:stroke on="f" weight="0.5pt"/>
              <v:imagedata o:title=""/>
              <o:lock v:ext="edit" aspectratio="f"/>
              <v:textbox style="mso-fit-shape-to-text:t;">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2</w:t>
                    </w:r>
                    <w:r>
                      <w:rPr>
                        <w:color w:val="000000" w:themeColor="text1"/>
                        <w:szCs w:val="40"/>
                        <w14:textFill>
                          <w14:solidFill>
                            <w14:schemeClr w14:val="tx1"/>
                          </w14:solidFill>
                        </w14:textFill>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cs="Times New Roman"/>
      </w:rPr>
    </w:pPr>
    <w:r>
      <w:rPr>
        <w:rFonts w:cs="Times New Roman"/>
      </w:rPr>
      <w:ptab w:relativeTo="margin" w:alignment="center" w:leader="none"/>
    </w:r>
    <w:r>
      <w:rPr>
        <w:rFonts w:cs="Times New Roman"/>
      </w:rPr>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b/>
      </w:rPr>
      <w:ptab w:relativeTo="margin" w:alignment="center" w:leader="none"/>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C0601A"/>
    <w:multiLevelType w:val="multilevel"/>
    <w:tmpl w:val="1EC0601A"/>
    <w:lvl w:ilvl="0" w:tentative="0">
      <w:start w:val="1"/>
      <w:numFmt w:val="decimal"/>
      <w:pStyle w:val="2"/>
      <w:lvlText w:val="%1"/>
      <w:lvlJc w:val="left"/>
      <w:pPr>
        <w:tabs>
          <w:tab w:val="left" w:pos="567"/>
        </w:tabs>
        <w:ind w:left="567" w:hanging="567"/>
      </w:pPr>
      <w:rPr>
        <w:rFonts w:hint="default"/>
      </w:rPr>
    </w:lvl>
    <w:lvl w:ilvl="1" w:tentative="0">
      <w:start w:val="1"/>
      <w:numFmt w:val="decimal"/>
      <w:pStyle w:val="4"/>
      <w:lvlText w:val="%1.%2"/>
      <w:lvlJc w:val="left"/>
      <w:pPr>
        <w:tabs>
          <w:tab w:val="left" w:pos="567"/>
        </w:tabs>
        <w:ind w:left="567" w:hanging="567"/>
      </w:pPr>
      <w:rPr>
        <w:rFonts w:hint="default"/>
      </w:rPr>
    </w:lvl>
    <w:lvl w:ilvl="2" w:tentative="0">
      <w:start w:val="1"/>
      <w:numFmt w:val="decimal"/>
      <w:pStyle w:val="5"/>
      <w:lvlText w:val="%1.%2.%3"/>
      <w:lvlJc w:val="left"/>
      <w:pPr>
        <w:tabs>
          <w:tab w:val="left" w:pos="567"/>
        </w:tabs>
        <w:ind w:left="567" w:hanging="567"/>
      </w:pPr>
      <w:rPr>
        <w:rFonts w:hint="default"/>
      </w:rPr>
    </w:lvl>
    <w:lvl w:ilvl="3" w:tentative="0">
      <w:start w:val="1"/>
      <w:numFmt w:val="decimal"/>
      <w:pStyle w:val="6"/>
      <w:lvlText w:val="%1.%2.%3.%4"/>
      <w:lvlJc w:val="left"/>
      <w:pPr>
        <w:tabs>
          <w:tab w:val="left" w:pos="567"/>
        </w:tabs>
        <w:ind w:left="567" w:hanging="567"/>
      </w:pPr>
      <w:rPr>
        <w:rFonts w:hint="default"/>
      </w:rPr>
    </w:lvl>
    <w:lvl w:ilvl="4" w:tentative="0">
      <w:start w:val="1"/>
      <w:numFmt w:val="decimal"/>
      <w:pStyle w:val="7"/>
      <w:lvlText w:val="%1.%2.%3.%4.%5"/>
      <w:lvlJc w:val="left"/>
      <w:pPr>
        <w:tabs>
          <w:tab w:val="left" w:pos="567"/>
        </w:tabs>
        <w:ind w:left="567" w:hanging="567"/>
      </w:pPr>
      <w:rPr>
        <w:rFonts w:hint="default"/>
      </w:rPr>
    </w:lvl>
    <w:lvl w:ilvl="5" w:tentative="0">
      <w:start w:val="1"/>
      <w:numFmt w:val="lowerRoman"/>
      <w:lvlText w:val="%6."/>
      <w:lvlJc w:val="right"/>
      <w:pPr>
        <w:tabs>
          <w:tab w:val="left" w:pos="567"/>
        </w:tabs>
        <w:ind w:left="567" w:hanging="567"/>
      </w:pPr>
      <w:rPr>
        <w:rFonts w:hint="default"/>
      </w:rPr>
    </w:lvl>
    <w:lvl w:ilvl="6" w:tentative="0">
      <w:start w:val="1"/>
      <w:numFmt w:val="decimal"/>
      <w:lvlText w:val="%7."/>
      <w:lvlJc w:val="left"/>
      <w:pPr>
        <w:tabs>
          <w:tab w:val="left" w:pos="567"/>
        </w:tabs>
        <w:ind w:left="567" w:hanging="567"/>
      </w:pPr>
      <w:rPr>
        <w:rFonts w:hint="default"/>
      </w:rPr>
    </w:lvl>
    <w:lvl w:ilvl="7" w:tentative="0">
      <w:start w:val="1"/>
      <w:numFmt w:val="lowerLetter"/>
      <w:lvlText w:val="%8."/>
      <w:lvlJc w:val="left"/>
      <w:pPr>
        <w:tabs>
          <w:tab w:val="left" w:pos="567"/>
        </w:tabs>
        <w:ind w:left="567" w:hanging="567"/>
      </w:pPr>
      <w:rPr>
        <w:rFonts w:hint="default"/>
      </w:rPr>
    </w:lvl>
    <w:lvl w:ilvl="8" w:tentative="0">
      <w:start w:val="1"/>
      <w:numFmt w:val="lowerRoman"/>
      <w:lvlText w:val="%9."/>
      <w:lvlJc w:val="right"/>
      <w:pPr>
        <w:tabs>
          <w:tab w:val="left" w:pos="567"/>
        </w:tabs>
        <w:ind w:left="567" w:hanging="567"/>
      </w:pPr>
      <w:rPr>
        <w:rFonts w:hint="default"/>
      </w:rPr>
    </w:lvl>
  </w:abstractNum>
  <w:abstractNum w:abstractNumId="1">
    <w:nsid w:val="225305B5"/>
    <w:multiLevelType w:val="multilevel"/>
    <w:tmpl w:val="225305B5"/>
    <w:lvl w:ilvl="0" w:tentative="0">
      <w:start w:val="1"/>
      <w:numFmt w:val="bullet"/>
      <w:pStyle w:val="3"/>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documentProtection w:enforcement="0"/>
  <w:defaultTabStop w:val="720"/>
  <w:evenAndOddHeaders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52A14"/>
    <w:rsid w:val="00077D53"/>
    <w:rsid w:val="00105FD9"/>
    <w:rsid w:val="00117666"/>
    <w:rsid w:val="001549D3"/>
    <w:rsid w:val="00160065"/>
    <w:rsid w:val="00177D84"/>
    <w:rsid w:val="00267D18"/>
    <w:rsid w:val="00274347"/>
    <w:rsid w:val="002868E2"/>
    <w:rsid w:val="002869C3"/>
    <w:rsid w:val="002936E4"/>
    <w:rsid w:val="002B4A57"/>
    <w:rsid w:val="002C74CA"/>
    <w:rsid w:val="003123F4"/>
    <w:rsid w:val="003544FB"/>
    <w:rsid w:val="003D2F2D"/>
    <w:rsid w:val="00401590"/>
    <w:rsid w:val="00447801"/>
    <w:rsid w:val="00452E9C"/>
    <w:rsid w:val="004735C8"/>
    <w:rsid w:val="004947A6"/>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17DD6"/>
    <w:rsid w:val="0083759F"/>
    <w:rsid w:val="00885156"/>
    <w:rsid w:val="009151AA"/>
    <w:rsid w:val="0093429D"/>
    <w:rsid w:val="00943573"/>
    <w:rsid w:val="00964134"/>
    <w:rsid w:val="00970F7D"/>
    <w:rsid w:val="00994A3D"/>
    <w:rsid w:val="009C2B12"/>
    <w:rsid w:val="00A174D9"/>
    <w:rsid w:val="00AA4D24"/>
    <w:rsid w:val="00AB6715"/>
    <w:rsid w:val="00B15247"/>
    <w:rsid w:val="00B1671E"/>
    <w:rsid w:val="00B25EB8"/>
    <w:rsid w:val="00B37F4D"/>
    <w:rsid w:val="00C52A7B"/>
    <w:rsid w:val="00C56BAF"/>
    <w:rsid w:val="00C679AA"/>
    <w:rsid w:val="00C75972"/>
    <w:rsid w:val="00CD066B"/>
    <w:rsid w:val="00CE4FEE"/>
    <w:rsid w:val="00D060CF"/>
    <w:rsid w:val="00DB59C3"/>
    <w:rsid w:val="00DC259A"/>
    <w:rsid w:val="00DE23E8"/>
    <w:rsid w:val="00E52377"/>
    <w:rsid w:val="00E537AD"/>
    <w:rsid w:val="00E64E17"/>
    <w:rsid w:val="00E866C9"/>
    <w:rsid w:val="00EA3D3C"/>
    <w:rsid w:val="00EC090A"/>
    <w:rsid w:val="00ED20B5"/>
    <w:rsid w:val="00F46900"/>
    <w:rsid w:val="00F61D89"/>
    <w:rsid w:val="035E1DF1"/>
    <w:rsid w:val="090E2AC9"/>
    <w:rsid w:val="0AD510B5"/>
    <w:rsid w:val="0DAB7D02"/>
    <w:rsid w:val="14CE0496"/>
    <w:rsid w:val="307F2F7C"/>
    <w:rsid w:val="4BFB78FB"/>
    <w:rsid w:val="4D5716C7"/>
    <w:rsid w:val="5988769A"/>
    <w:rsid w:val="63DA5AFD"/>
    <w:rsid w:val="659E58E8"/>
    <w:rsid w:val="669C6DA8"/>
    <w:rsid w:val="67B642F2"/>
    <w:rsid w:val="72E1028C"/>
    <w:rsid w:val="72EB349A"/>
    <w:rsid w:val="751C6932"/>
    <w:rsid w:val="768E2A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2" w:semiHidden="0" w:name="heading 1"/>
    <w:lsdException w:qFormat="1" w:unhideWhenUsed="0" w:uiPriority="2" w:semiHidden="0" w:name="heading 2"/>
    <w:lsdException w:qFormat="1" w:unhideWhenUsed="0" w:uiPriority="2" w:semiHidden="0" w:name="heading 3"/>
    <w:lsdException w:qFormat="1" w:unhideWhenUsed="0" w:uiPriority="2" w:semiHidden="0" w:name="heading 4"/>
    <w:lsdException w:qFormat="1" w:unhideWhenUsed="0" w:uiPriority="2"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qFormat="1"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20" w:after="240" w:line="240" w:lineRule="auto"/>
    </w:pPr>
    <w:rPr>
      <w:rFonts w:ascii="Times New Roman" w:hAnsi="Times New Roman" w:eastAsiaTheme="minorHAnsi" w:cstheme="minorBidi"/>
      <w:sz w:val="24"/>
      <w:szCs w:val="22"/>
      <w:lang w:val="en-US" w:eastAsia="en-US" w:bidi="ar-SA"/>
    </w:rPr>
  </w:style>
  <w:style w:type="paragraph" w:styleId="2">
    <w:name w:val="heading 1"/>
    <w:basedOn w:val="3"/>
    <w:next w:val="1"/>
    <w:link w:val="31"/>
    <w:qFormat/>
    <w:uiPriority w:val="2"/>
    <w:pPr>
      <w:numPr>
        <w:ilvl w:val="0"/>
        <w:numId w:val="1"/>
      </w:numPr>
      <w:spacing w:before="240"/>
      <w:contextualSpacing w:val="0"/>
      <w:outlineLvl w:val="0"/>
    </w:pPr>
    <w:rPr>
      <w:b/>
    </w:rPr>
  </w:style>
  <w:style w:type="paragraph" w:styleId="4">
    <w:name w:val="heading 2"/>
    <w:basedOn w:val="2"/>
    <w:next w:val="1"/>
    <w:link w:val="32"/>
    <w:qFormat/>
    <w:uiPriority w:val="2"/>
    <w:pPr>
      <w:numPr>
        <w:ilvl w:val="1"/>
      </w:numPr>
      <w:spacing w:after="200"/>
      <w:outlineLvl w:val="1"/>
    </w:pPr>
  </w:style>
  <w:style w:type="paragraph" w:styleId="5">
    <w:name w:val="heading 3"/>
    <w:basedOn w:val="1"/>
    <w:next w:val="1"/>
    <w:link w:val="45"/>
    <w:qFormat/>
    <w:uiPriority w:val="2"/>
    <w:pPr>
      <w:keepNext/>
      <w:keepLines/>
      <w:numPr>
        <w:ilvl w:val="2"/>
        <w:numId w:val="1"/>
      </w:numPr>
      <w:spacing w:before="40" w:after="120"/>
      <w:outlineLvl w:val="2"/>
    </w:pPr>
    <w:rPr>
      <w:rFonts w:eastAsiaTheme="majorEastAsia" w:cstheme="majorBidi"/>
      <w:b/>
      <w:szCs w:val="24"/>
    </w:rPr>
  </w:style>
  <w:style w:type="paragraph" w:styleId="6">
    <w:name w:val="heading 4"/>
    <w:basedOn w:val="5"/>
    <w:next w:val="1"/>
    <w:link w:val="46"/>
    <w:qFormat/>
    <w:uiPriority w:val="2"/>
    <w:pPr>
      <w:numPr>
        <w:ilvl w:val="3"/>
      </w:numPr>
      <w:outlineLvl w:val="3"/>
    </w:pPr>
    <w:rPr>
      <w:iCs/>
    </w:rPr>
  </w:style>
  <w:style w:type="paragraph" w:styleId="7">
    <w:name w:val="heading 5"/>
    <w:basedOn w:val="6"/>
    <w:next w:val="1"/>
    <w:link w:val="47"/>
    <w:qFormat/>
    <w:uiPriority w:val="2"/>
    <w:pPr>
      <w:numPr>
        <w:ilvl w:val="4"/>
      </w:numPr>
      <w:outlineLvl w:val="4"/>
    </w:p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3">
    <w:name w:val="List Paragraph"/>
    <w:basedOn w:val="1"/>
    <w:qFormat/>
    <w:uiPriority w:val="3"/>
    <w:pPr>
      <w:numPr>
        <w:ilvl w:val="0"/>
        <w:numId w:val="2"/>
      </w:numPr>
      <w:contextualSpacing/>
    </w:pPr>
    <w:rPr>
      <w:rFonts w:eastAsia="Cambria" w:cs="Times New Roman"/>
      <w:szCs w:val="24"/>
    </w:rPr>
  </w:style>
  <w:style w:type="paragraph" w:styleId="8">
    <w:name w:val="caption"/>
    <w:basedOn w:val="1"/>
    <w:next w:val="9"/>
    <w:unhideWhenUsed/>
    <w:qFormat/>
    <w:uiPriority w:val="35"/>
    <w:pPr>
      <w:keepNext/>
    </w:pPr>
    <w:rPr>
      <w:rFonts w:cs="Times New Roman"/>
      <w:b/>
      <w:bCs/>
      <w:szCs w:val="24"/>
    </w:rPr>
  </w:style>
  <w:style w:type="paragraph" w:styleId="9">
    <w:name w:val="No Spacing"/>
    <w:unhideWhenUsed/>
    <w:qFormat/>
    <w:uiPriority w:val="99"/>
    <w:pPr>
      <w:spacing w:after="0" w:line="240" w:lineRule="auto"/>
    </w:pPr>
    <w:rPr>
      <w:rFonts w:ascii="Times New Roman" w:hAnsi="Times New Roman" w:eastAsiaTheme="minorHAnsi" w:cstheme="minorBidi"/>
      <w:sz w:val="24"/>
      <w:szCs w:val="22"/>
      <w:lang w:val="en-US" w:eastAsia="en-US" w:bidi="ar-SA"/>
    </w:rPr>
  </w:style>
  <w:style w:type="paragraph" w:styleId="10">
    <w:name w:val="annotation text"/>
    <w:basedOn w:val="1"/>
    <w:link w:val="37"/>
    <w:semiHidden/>
    <w:unhideWhenUsed/>
    <w:qFormat/>
    <w:uiPriority w:val="99"/>
    <w:rPr>
      <w:sz w:val="20"/>
      <w:szCs w:val="20"/>
    </w:rPr>
  </w:style>
  <w:style w:type="paragraph" w:styleId="11">
    <w:name w:val="endnote text"/>
    <w:basedOn w:val="1"/>
    <w:link w:val="39"/>
    <w:semiHidden/>
    <w:unhideWhenUsed/>
    <w:qFormat/>
    <w:uiPriority w:val="99"/>
    <w:pPr>
      <w:spacing w:after="0"/>
    </w:pPr>
    <w:rPr>
      <w:sz w:val="20"/>
      <w:szCs w:val="20"/>
    </w:rPr>
  </w:style>
  <w:style w:type="paragraph" w:styleId="12">
    <w:name w:val="Balloon Text"/>
    <w:basedOn w:val="1"/>
    <w:link w:val="35"/>
    <w:semiHidden/>
    <w:unhideWhenUsed/>
    <w:qFormat/>
    <w:uiPriority w:val="99"/>
    <w:pPr>
      <w:spacing w:after="0"/>
    </w:pPr>
    <w:rPr>
      <w:rFonts w:ascii="Tahoma" w:hAnsi="Tahoma" w:cs="Tahoma"/>
      <w:sz w:val="16"/>
      <w:szCs w:val="16"/>
    </w:rPr>
  </w:style>
  <w:style w:type="paragraph" w:styleId="13">
    <w:name w:val="footer"/>
    <w:basedOn w:val="1"/>
    <w:link w:val="40"/>
    <w:unhideWhenUsed/>
    <w:qFormat/>
    <w:uiPriority w:val="99"/>
    <w:pPr>
      <w:tabs>
        <w:tab w:val="center" w:pos="4844"/>
        <w:tab w:val="right" w:pos="9689"/>
      </w:tabs>
      <w:spacing w:after="0"/>
    </w:pPr>
  </w:style>
  <w:style w:type="paragraph" w:styleId="14">
    <w:name w:val="header"/>
    <w:basedOn w:val="1"/>
    <w:link w:val="42"/>
    <w:unhideWhenUsed/>
    <w:qFormat/>
    <w:uiPriority w:val="99"/>
    <w:pPr>
      <w:tabs>
        <w:tab w:val="center" w:pos="4844"/>
        <w:tab w:val="right" w:pos="9689"/>
      </w:tabs>
    </w:pPr>
    <w:rPr>
      <w:b/>
    </w:rPr>
  </w:style>
  <w:style w:type="paragraph" w:styleId="15">
    <w:name w:val="Subtitle"/>
    <w:basedOn w:val="1"/>
    <w:next w:val="1"/>
    <w:link w:val="33"/>
    <w:unhideWhenUsed/>
    <w:qFormat/>
    <w:uiPriority w:val="99"/>
    <w:pPr>
      <w:spacing w:before="240"/>
    </w:pPr>
    <w:rPr>
      <w:rFonts w:cs="Times New Roman"/>
      <w:b/>
      <w:szCs w:val="24"/>
    </w:rPr>
  </w:style>
  <w:style w:type="paragraph" w:styleId="16">
    <w:name w:val="footnote text"/>
    <w:basedOn w:val="1"/>
    <w:link w:val="41"/>
    <w:semiHidden/>
    <w:unhideWhenUsed/>
    <w:qFormat/>
    <w:uiPriority w:val="99"/>
    <w:pPr>
      <w:spacing w:after="0"/>
    </w:pPr>
    <w:rPr>
      <w:sz w:val="20"/>
      <w:szCs w:val="20"/>
    </w:rPr>
  </w:style>
  <w:style w:type="paragraph" w:styleId="17">
    <w:name w:val="Normal (Web)"/>
    <w:basedOn w:val="1"/>
    <w:unhideWhenUsed/>
    <w:qFormat/>
    <w:uiPriority w:val="99"/>
    <w:pPr>
      <w:spacing w:before="100" w:beforeAutospacing="1" w:after="100" w:afterAutospacing="1"/>
    </w:pPr>
    <w:rPr>
      <w:rFonts w:eastAsia="Times New Roman" w:cs="Times New Roman"/>
      <w:szCs w:val="24"/>
    </w:rPr>
  </w:style>
  <w:style w:type="paragraph" w:styleId="18">
    <w:name w:val="Title"/>
    <w:basedOn w:val="1"/>
    <w:next w:val="1"/>
    <w:link w:val="51"/>
    <w:qFormat/>
    <w:uiPriority w:val="0"/>
    <w:pPr>
      <w:suppressLineNumbers/>
      <w:spacing w:before="240" w:after="360"/>
      <w:jc w:val="center"/>
    </w:pPr>
    <w:rPr>
      <w:rFonts w:cs="Times New Roman"/>
      <w:b/>
      <w:sz w:val="32"/>
      <w:szCs w:val="32"/>
    </w:rPr>
  </w:style>
  <w:style w:type="paragraph" w:styleId="19">
    <w:name w:val="annotation subject"/>
    <w:basedOn w:val="10"/>
    <w:next w:val="10"/>
    <w:link w:val="38"/>
    <w:semiHidden/>
    <w:unhideWhenUsed/>
    <w:qFormat/>
    <w:uiPriority w:val="99"/>
    <w:rPr>
      <w:b/>
      <w:bCs/>
    </w:rPr>
  </w:style>
  <w:style w:type="table" w:styleId="21">
    <w:name w:val="Table Grid"/>
    <w:basedOn w:val="20"/>
    <w:qFormat/>
    <w:uiPriority w:val="59"/>
    <w:pPr>
      <w:spacing w:after="0" w:line="240" w:lineRule="auto"/>
    </w:pPr>
    <w:rPr>
      <w:rFonts w:asciiTheme="majorHAnsi" w:hAnsiTheme="maj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22"/>
    <w:rPr>
      <w:rFonts w:ascii="Times New Roman" w:hAnsi="Times New Roman"/>
      <w:b/>
      <w:bCs/>
    </w:rPr>
  </w:style>
  <w:style w:type="character" w:styleId="24">
    <w:name w:val="endnote reference"/>
    <w:basedOn w:val="22"/>
    <w:semiHidden/>
    <w:unhideWhenUsed/>
    <w:qFormat/>
    <w:uiPriority w:val="99"/>
    <w:rPr>
      <w:vertAlign w:val="superscript"/>
    </w:rPr>
  </w:style>
  <w:style w:type="character" w:styleId="25">
    <w:name w:val="FollowedHyperlink"/>
    <w:basedOn w:val="22"/>
    <w:semiHidden/>
    <w:unhideWhenUsed/>
    <w:qFormat/>
    <w:uiPriority w:val="99"/>
    <w:rPr>
      <w:color w:val="800080" w:themeColor="followedHyperlink"/>
      <w:u w:val="single"/>
      <w14:textFill>
        <w14:solidFill>
          <w14:schemeClr w14:val="folHlink"/>
        </w14:solidFill>
      </w14:textFill>
    </w:rPr>
  </w:style>
  <w:style w:type="character" w:styleId="26">
    <w:name w:val="Emphasis"/>
    <w:basedOn w:val="22"/>
    <w:qFormat/>
    <w:uiPriority w:val="20"/>
    <w:rPr>
      <w:rFonts w:ascii="Times New Roman" w:hAnsi="Times New Roman"/>
      <w:i/>
      <w:iCs/>
    </w:rPr>
  </w:style>
  <w:style w:type="character" w:styleId="27">
    <w:name w:val="line number"/>
    <w:basedOn w:val="22"/>
    <w:semiHidden/>
    <w:unhideWhenUsed/>
    <w:qFormat/>
    <w:uiPriority w:val="99"/>
  </w:style>
  <w:style w:type="character" w:styleId="28">
    <w:name w:val="Hyperlink"/>
    <w:basedOn w:val="22"/>
    <w:unhideWhenUsed/>
    <w:qFormat/>
    <w:uiPriority w:val="99"/>
    <w:rPr>
      <w:color w:val="0000FF"/>
      <w:u w:val="single"/>
    </w:rPr>
  </w:style>
  <w:style w:type="character" w:styleId="29">
    <w:name w:val="annotation reference"/>
    <w:basedOn w:val="22"/>
    <w:semiHidden/>
    <w:unhideWhenUsed/>
    <w:qFormat/>
    <w:uiPriority w:val="99"/>
    <w:rPr>
      <w:sz w:val="16"/>
      <w:szCs w:val="16"/>
    </w:rPr>
  </w:style>
  <w:style w:type="character" w:styleId="30">
    <w:name w:val="footnote reference"/>
    <w:basedOn w:val="22"/>
    <w:semiHidden/>
    <w:unhideWhenUsed/>
    <w:qFormat/>
    <w:uiPriority w:val="99"/>
    <w:rPr>
      <w:vertAlign w:val="superscript"/>
    </w:rPr>
  </w:style>
  <w:style w:type="character" w:customStyle="1" w:styleId="31">
    <w:name w:val="Heading 1 Char"/>
    <w:basedOn w:val="22"/>
    <w:link w:val="2"/>
    <w:qFormat/>
    <w:uiPriority w:val="2"/>
    <w:rPr>
      <w:rFonts w:ascii="Times New Roman" w:hAnsi="Times New Roman" w:eastAsia="Cambria" w:cs="Times New Roman"/>
      <w:b/>
      <w:sz w:val="24"/>
      <w:szCs w:val="24"/>
    </w:rPr>
  </w:style>
  <w:style w:type="character" w:customStyle="1" w:styleId="32">
    <w:name w:val="Heading 2 Char"/>
    <w:basedOn w:val="22"/>
    <w:link w:val="4"/>
    <w:qFormat/>
    <w:uiPriority w:val="2"/>
    <w:rPr>
      <w:rFonts w:ascii="Times New Roman" w:hAnsi="Times New Roman" w:eastAsia="Cambria" w:cs="Times New Roman"/>
      <w:b/>
      <w:sz w:val="24"/>
      <w:szCs w:val="24"/>
    </w:rPr>
  </w:style>
  <w:style w:type="character" w:customStyle="1" w:styleId="33">
    <w:name w:val="Subtitle Char"/>
    <w:basedOn w:val="22"/>
    <w:link w:val="15"/>
    <w:qFormat/>
    <w:uiPriority w:val="99"/>
    <w:rPr>
      <w:rFonts w:ascii="Times New Roman" w:hAnsi="Times New Roman" w:cs="Times New Roman"/>
      <w:b/>
      <w:sz w:val="24"/>
      <w:szCs w:val="24"/>
    </w:rPr>
  </w:style>
  <w:style w:type="paragraph" w:customStyle="1" w:styleId="34">
    <w:name w:val="Author List"/>
    <w:basedOn w:val="15"/>
    <w:next w:val="1"/>
    <w:qFormat/>
    <w:uiPriority w:val="1"/>
  </w:style>
  <w:style w:type="character" w:customStyle="1" w:styleId="35">
    <w:name w:val="Balloon Text Char"/>
    <w:basedOn w:val="22"/>
    <w:link w:val="12"/>
    <w:semiHidden/>
    <w:qFormat/>
    <w:uiPriority w:val="99"/>
    <w:rPr>
      <w:rFonts w:ascii="Tahoma" w:hAnsi="Tahoma" w:cs="Tahoma"/>
      <w:sz w:val="16"/>
      <w:szCs w:val="16"/>
    </w:rPr>
  </w:style>
  <w:style w:type="character" w:customStyle="1" w:styleId="36">
    <w:name w:val="Book Title"/>
    <w:basedOn w:val="22"/>
    <w:qFormat/>
    <w:uiPriority w:val="33"/>
    <w:rPr>
      <w:rFonts w:ascii="Times New Roman" w:hAnsi="Times New Roman"/>
      <w:b/>
      <w:bCs/>
      <w:i/>
      <w:iCs/>
      <w:spacing w:val="5"/>
    </w:rPr>
  </w:style>
  <w:style w:type="character" w:customStyle="1" w:styleId="37">
    <w:name w:val="Comment Text Char"/>
    <w:basedOn w:val="22"/>
    <w:link w:val="10"/>
    <w:semiHidden/>
    <w:qFormat/>
    <w:uiPriority w:val="99"/>
    <w:rPr>
      <w:rFonts w:ascii="Times New Roman" w:hAnsi="Times New Roman"/>
      <w:sz w:val="20"/>
      <w:szCs w:val="20"/>
    </w:rPr>
  </w:style>
  <w:style w:type="character" w:customStyle="1" w:styleId="38">
    <w:name w:val="Comment Subject Char"/>
    <w:basedOn w:val="37"/>
    <w:link w:val="19"/>
    <w:semiHidden/>
    <w:qFormat/>
    <w:uiPriority w:val="99"/>
    <w:rPr>
      <w:rFonts w:ascii="Times New Roman" w:hAnsi="Times New Roman"/>
      <w:b/>
      <w:bCs/>
      <w:sz w:val="20"/>
      <w:szCs w:val="20"/>
    </w:rPr>
  </w:style>
  <w:style w:type="character" w:customStyle="1" w:styleId="39">
    <w:name w:val="Endnote Text Char"/>
    <w:basedOn w:val="22"/>
    <w:link w:val="11"/>
    <w:semiHidden/>
    <w:qFormat/>
    <w:uiPriority w:val="99"/>
    <w:rPr>
      <w:rFonts w:ascii="Times New Roman" w:hAnsi="Times New Roman"/>
      <w:sz w:val="20"/>
      <w:szCs w:val="20"/>
    </w:rPr>
  </w:style>
  <w:style w:type="character" w:customStyle="1" w:styleId="40">
    <w:name w:val="Footer Char"/>
    <w:basedOn w:val="22"/>
    <w:link w:val="13"/>
    <w:qFormat/>
    <w:uiPriority w:val="99"/>
    <w:rPr>
      <w:rFonts w:ascii="Times New Roman" w:hAnsi="Times New Roman"/>
      <w:sz w:val="24"/>
    </w:rPr>
  </w:style>
  <w:style w:type="character" w:customStyle="1" w:styleId="41">
    <w:name w:val="Footnote Text Char"/>
    <w:basedOn w:val="22"/>
    <w:link w:val="16"/>
    <w:semiHidden/>
    <w:qFormat/>
    <w:uiPriority w:val="99"/>
    <w:rPr>
      <w:rFonts w:ascii="Times New Roman" w:hAnsi="Times New Roman"/>
      <w:sz w:val="20"/>
      <w:szCs w:val="20"/>
    </w:rPr>
  </w:style>
  <w:style w:type="character" w:customStyle="1" w:styleId="42">
    <w:name w:val="Header Char"/>
    <w:basedOn w:val="22"/>
    <w:link w:val="14"/>
    <w:qFormat/>
    <w:uiPriority w:val="99"/>
    <w:rPr>
      <w:rFonts w:ascii="Times New Roman" w:hAnsi="Times New Roman"/>
      <w:b/>
      <w:sz w:val="24"/>
    </w:rPr>
  </w:style>
  <w:style w:type="character" w:customStyle="1" w:styleId="43">
    <w:name w:val="Intense Emphasis"/>
    <w:basedOn w:val="22"/>
    <w:unhideWhenUsed/>
    <w:qFormat/>
    <w:uiPriority w:val="21"/>
    <w:rPr>
      <w:rFonts w:ascii="Times New Roman" w:hAnsi="Times New Roman"/>
      <w:i/>
      <w:iCs/>
      <w:color w:val="auto"/>
    </w:rPr>
  </w:style>
  <w:style w:type="character" w:customStyle="1" w:styleId="44">
    <w:name w:val="Intense Reference"/>
    <w:basedOn w:val="22"/>
    <w:qFormat/>
    <w:uiPriority w:val="32"/>
    <w:rPr>
      <w:b/>
      <w:bCs/>
      <w:smallCaps/>
      <w:color w:val="auto"/>
      <w:spacing w:val="5"/>
    </w:rPr>
  </w:style>
  <w:style w:type="character" w:customStyle="1" w:styleId="45">
    <w:name w:val="Heading 3 Char"/>
    <w:basedOn w:val="22"/>
    <w:link w:val="5"/>
    <w:qFormat/>
    <w:uiPriority w:val="2"/>
    <w:rPr>
      <w:rFonts w:ascii="Times New Roman" w:hAnsi="Times New Roman" w:eastAsiaTheme="majorEastAsia" w:cstheme="majorBidi"/>
      <w:b/>
      <w:sz w:val="24"/>
      <w:szCs w:val="24"/>
    </w:rPr>
  </w:style>
  <w:style w:type="character" w:customStyle="1" w:styleId="46">
    <w:name w:val="Heading 4 Char"/>
    <w:basedOn w:val="22"/>
    <w:link w:val="6"/>
    <w:qFormat/>
    <w:uiPriority w:val="2"/>
    <w:rPr>
      <w:rFonts w:ascii="Times New Roman" w:hAnsi="Times New Roman" w:eastAsiaTheme="majorEastAsia" w:cstheme="majorBidi"/>
      <w:b/>
      <w:iCs/>
      <w:sz w:val="24"/>
      <w:szCs w:val="24"/>
    </w:rPr>
  </w:style>
  <w:style w:type="character" w:customStyle="1" w:styleId="47">
    <w:name w:val="Heading 5 Char"/>
    <w:basedOn w:val="22"/>
    <w:link w:val="7"/>
    <w:qFormat/>
    <w:uiPriority w:val="2"/>
    <w:rPr>
      <w:rFonts w:ascii="Times New Roman" w:hAnsi="Times New Roman" w:eastAsiaTheme="majorEastAsia" w:cstheme="majorBidi"/>
      <w:b/>
      <w:iCs/>
      <w:sz w:val="24"/>
      <w:szCs w:val="24"/>
    </w:rPr>
  </w:style>
  <w:style w:type="paragraph" w:styleId="48">
    <w:name w:val="Quote"/>
    <w:basedOn w:val="1"/>
    <w:next w:val="1"/>
    <w:link w:val="49"/>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49">
    <w:name w:val="Quote Char"/>
    <w:basedOn w:val="22"/>
    <w:link w:val="48"/>
    <w:qFormat/>
    <w:uiPriority w:val="29"/>
    <w:rPr>
      <w:rFonts w:ascii="Times New Roman" w:hAnsi="Times New Roman"/>
      <w:i/>
      <w:iCs/>
      <w:color w:val="404040" w:themeColor="text1" w:themeTint="BF"/>
      <w:sz w:val="24"/>
      <w14:textFill>
        <w14:solidFill>
          <w14:schemeClr w14:val="tx1">
            <w14:lumMod w14:val="75000"/>
            <w14:lumOff w14:val="25000"/>
          </w14:schemeClr>
        </w14:solidFill>
      </w14:textFill>
    </w:rPr>
  </w:style>
  <w:style w:type="character" w:customStyle="1" w:styleId="50">
    <w:name w:val="Subtle Emphasis"/>
    <w:basedOn w:val="22"/>
    <w:qFormat/>
    <w:uiPriority w:val="19"/>
    <w:rPr>
      <w:rFonts w:ascii="Times New Roman" w:hAnsi="Times New Roman"/>
      <w:i/>
      <w:iCs/>
      <w:color w:val="404040" w:themeColor="text1" w:themeTint="BF"/>
      <w14:textFill>
        <w14:solidFill>
          <w14:schemeClr w14:val="tx1">
            <w14:lumMod w14:val="75000"/>
            <w14:lumOff w14:val="25000"/>
          </w14:schemeClr>
        </w14:solidFill>
      </w14:textFill>
    </w:rPr>
  </w:style>
  <w:style w:type="character" w:customStyle="1" w:styleId="51">
    <w:name w:val="Title Char"/>
    <w:basedOn w:val="22"/>
    <w:link w:val="18"/>
    <w:qFormat/>
    <w:uiPriority w:val="0"/>
    <w:rPr>
      <w:rFonts w:ascii="Times New Roman" w:hAnsi="Times New Roman" w:cs="Times New Roman"/>
      <w:b/>
      <w:sz w:val="32"/>
      <w:szCs w:val="32"/>
    </w:rPr>
  </w:style>
  <w:style w:type="paragraph" w:customStyle="1" w:styleId="52">
    <w:name w:val="Supplementary Material"/>
    <w:basedOn w:val="18"/>
    <w:next w:val="18"/>
    <w:qFormat/>
    <w:uiPriority w:val="0"/>
    <w:pPr>
      <w:spacing w:after="120"/>
    </w:pPr>
    <w:rPr>
      <w:i/>
    </w:rPr>
  </w:style>
  <w:style w:type="paragraph" w:customStyle="1" w:styleId="53">
    <w:name w:val="MDPI_3.1_text"/>
    <w:qFormat/>
    <w:uiPriority w:val="0"/>
    <w:pPr>
      <w:adjustRightInd w:val="0"/>
      <w:snapToGrid w:val="0"/>
      <w:spacing w:line="260" w:lineRule="atLeast"/>
      <w:ind w:firstLine="425"/>
      <w:jc w:val="both"/>
    </w:pPr>
    <w:rPr>
      <w:rFonts w:ascii="Palatino Linotype" w:hAnsi="Palatino Linotype" w:eastAsia="Times New Roman" w:cs="Times New Roman"/>
      <w:snapToGrid w:val="0"/>
      <w:color w:val="000000"/>
      <w:szCs w:val="22"/>
      <w:lang w:val="en-US" w:eastAsia="de-DE"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8" Type="http://schemas.openxmlformats.org/officeDocument/2006/relationships/image" Target="media/image1.tiff"/><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tiff"/><Relationship Id="rId10" Type="http://schemas.openxmlformats.org/officeDocument/2006/relationships/image" Target="media/image3.tif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A95B22-B4E8-4C8E-ABCB-1E2B9143F8CF}">
  <ds:schemaRefs/>
</ds:datastoreItem>
</file>

<file path=docProps/app.xml><?xml version="1.0" encoding="utf-8"?>
<Properties xmlns="http://schemas.openxmlformats.org/officeDocument/2006/extended-properties" xmlns:vt="http://schemas.openxmlformats.org/officeDocument/2006/docPropsVTypes">
  <Template>Supplementary_Material.dotx</Template>
  <Pages>1</Pages>
  <Words>247</Words>
  <Characters>1410</Characters>
  <Lines>11</Lines>
  <Paragraphs>3</Paragraphs>
  <TotalTime>29</TotalTime>
  <ScaleCrop>false</ScaleCrop>
  <LinksUpToDate>false</LinksUpToDate>
  <CharactersWithSpaces>1654</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2018-11-23T08:58:00Z</dcterms:created>
  <dc:creator>Frontiers Media SA</dc:creator>
  <cp:lastModifiedBy>东陈西就</cp:lastModifiedBy>
  <cp:lastPrinted>2013-10-03T12:51:00Z</cp:lastPrinted>
  <dcterms:modified xsi:type="dcterms:W3CDTF">2020-08-08T03:17:58Z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