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3B3" w:rsidRPr="008C641D" w:rsidRDefault="000A23B3" w:rsidP="000A23B3">
      <w:pPr>
        <w:pStyle w:val="Heading1"/>
      </w:pPr>
      <w:r w:rsidRPr="008C641D">
        <w:t>Supplementary figures</w:t>
      </w:r>
    </w:p>
    <w:p w:rsidR="000A23B3" w:rsidRPr="008C641D" w:rsidRDefault="000A23B3" w:rsidP="000A23B3">
      <w:pPr>
        <w:rPr>
          <w:sz w:val="20"/>
          <w:szCs w:val="22"/>
        </w:rPr>
      </w:pPr>
      <w:r w:rsidRPr="008C641D">
        <w:rPr>
          <w:noProof/>
          <w:lang w:eastAsia="en-US"/>
        </w:rPr>
        <w:drawing>
          <wp:inline distT="0" distB="0" distL="0" distR="0" wp14:anchorId="44ECCA30" wp14:editId="4B156209">
            <wp:extent cx="5274310" cy="4990465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1D">
        <w:rPr>
          <w:rFonts w:hint="eastAsia"/>
          <w:sz w:val="20"/>
          <w:szCs w:val="22"/>
        </w:rPr>
        <w:t>Fig</w:t>
      </w:r>
      <w:r w:rsidRPr="008C641D">
        <w:rPr>
          <w:sz w:val="20"/>
          <w:szCs w:val="22"/>
        </w:rPr>
        <w:t xml:space="preserve">.S1 </w:t>
      </w:r>
    </w:p>
    <w:p w:rsidR="000A23B3" w:rsidRPr="008C641D" w:rsidRDefault="000A23B3" w:rsidP="000A23B3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rPr>
          <w:rFonts w:cs="Arial"/>
        </w:rPr>
      </w:pPr>
      <w:r w:rsidRPr="008C641D">
        <w:rPr>
          <w:rFonts w:cs="Arial"/>
        </w:rPr>
        <w:t>Clonogenic assays of Detroit562,Fadu, SCC9, SCC25 cells that had been exposed to different concentrations of RSL3 for 24 h.</w:t>
      </w:r>
    </w:p>
    <w:p w:rsidR="000A23B3" w:rsidRPr="008C641D" w:rsidRDefault="000A23B3" w:rsidP="000A23B3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rPr>
          <w:rFonts w:cs="Arial"/>
          <w:szCs w:val="20"/>
        </w:rPr>
      </w:pPr>
      <w:r w:rsidRPr="008C641D">
        <w:rPr>
          <w:rFonts w:cs="Arial"/>
        </w:rPr>
        <w:t xml:space="preserve">c. Cell viability (b) and LDH release assays(c) after exposure to 5 μM RSL3. The cells were co-treated with </w:t>
      </w:r>
      <w:r w:rsidRPr="008C641D">
        <w:t>liproxstatin-1</w:t>
      </w:r>
      <w:r w:rsidRPr="008C641D">
        <w:rPr>
          <w:rFonts w:cs="Arial"/>
        </w:rPr>
        <w:t xml:space="preserve"> (Lipro-1, 1 μM), The error bars represent standard deviation from three </w:t>
      </w:r>
      <w:r w:rsidRPr="008C641D">
        <w:rPr>
          <w:rFonts w:cs="Arial"/>
          <w:szCs w:val="20"/>
        </w:rPr>
        <w:t>replicates. * P &lt; 0.01 relative to the control or the differently treated groups.</w:t>
      </w:r>
    </w:p>
    <w:p w:rsidR="000A23B3" w:rsidRPr="008C641D" w:rsidRDefault="000A23B3" w:rsidP="000A23B3">
      <w:pPr>
        <w:spacing w:line="276" w:lineRule="auto"/>
        <w:rPr>
          <w:rFonts w:hAnsi="Arial" w:cs="Arial"/>
          <w:sz w:val="20"/>
          <w:szCs w:val="20"/>
        </w:rPr>
      </w:pPr>
    </w:p>
    <w:p w:rsidR="000A23B3" w:rsidRPr="008C641D" w:rsidRDefault="000A23B3" w:rsidP="000A23B3">
      <w:pPr>
        <w:rPr>
          <w:sz w:val="20"/>
          <w:szCs w:val="22"/>
        </w:rPr>
      </w:pPr>
      <w:r w:rsidRPr="008C641D">
        <w:rPr>
          <w:noProof/>
          <w:lang w:eastAsia="en-US"/>
        </w:rPr>
        <w:lastRenderedPageBreak/>
        <w:drawing>
          <wp:inline distT="0" distB="0" distL="0" distR="0" wp14:anchorId="0E5EE1DE" wp14:editId="690BB905">
            <wp:extent cx="5274310" cy="3318510"/>
            <wp:effectExtent l="0" t="0" r="0" b="0"/>
            <wp:docPr id="22" name="Picture 2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1D">
        <w:rPr>
          <w:rFonts w:hint="eastAsia"/>
          <w:sz w:val="20"/>
          <w:szCs w:val="22"/>
        </w:rPr>
        <w:t xml:space="preserve"> Fig</w:t>
      </w:r>
      <w:r w:rsidRPr="008C641D">
        <w:rPr>
          <w:sz w:val="20"/>
          <w:szCs w:val="22"/>
        </w:rPr>
        <w:t>.S2</w:t>
      </w:r>
    </w:p>
    <w:p w:rsidR="000A23B3" w:rsidRPr="008C641D" w:rsidRDefault="000A23B3" w:rsidP="000A23B3">
      <w:pPr>
        <w:pStyle w:val="BodyText"/>
        <w:numPr>
          <w:ilvl w:val="0"/>
          <w:numId w:val="2"/>
        </w:numPr>
        <w:spacing w:line="276" w:lineRule="auto"/>
        <w:jc w:val="both"/>
      </w:pPr>
      <w:r w:rsidRPr="008C641D">
        <w:t xml:space="preserve">b. Validated efficiency of shRNAs targeting </w:t>
      </w:r>
      <w:r w:rsidRPr="008C641D">
        <w:rPr>
          <w:rFonts w:eastAsiaTheme="minorEastAsia"/>
          <w:lang w:eastAsia="zh-CN"/>
        </w:rPr>
        <w:t>ALKBH</w:t>
      </w:r>
      <w:r w:rsidRPr="008C641D">
        <w:t>5 as indicated by both qPCR (a) and Western blot analysis (b) of Detroit 562 and FaDu HPSCC cells.</w:t>
      </w:r>
    </w:p>
    <w:p w:rsidR="000A23B3" w:rsidRPr="008C641D" w:rsidRDefault="000A23B3" w:rsidP="000A23B3">
      <w:pPr>
        <w:pStyle w:val="BodyText"/>
        <w:numPr>
          <w:ilvl w:val="0"/>
          <w:numId w:val="3"/>
        </w:numPr>
        <w:spacing w:line="276" w:lineRule="auto"/>
        <w:jc w:val="both"/>
      </w:pPr>
      <w:r w:rsidRPr="008C641D">
        <w:t>The global m</w:t>
      </w:r>
      <w:r w:rsidRPr="008C641D">
        <w:rPr>
          <w:vertAlign w:val="superscript"/>
        </w:rPr>
        <w:t>6</w:t>
      </w:r>
      <w:r w:rsidRPr="008C641D">
        <w:t xml:space="preserve">A levels in mRNA of control </w:t>
      </w:r>
      <w:r w:rsidRPr="008C641D">
        <w:rPr>
          <w:kern w:val="2"/>
        </w:rPr>
        <w:t xml:space="preserve">and </w:t>
      </w:r>
      <w:r w:rsidRPr="008C641D">
        <w:t>ALKBH5-knockdown</w:t>
      </w:r>
      <w:r w:rsidRPr="008C641D">
        <w:rPr>
          <w:kern w:val="2"/>
        </w:rPr>
        <w:t xml:space="preserve"> </w:t>
      </w:r>
      <w:r w:rsidRPr="008C641D">
        <w:t>HPSCC cells were measured by the EpiQuik™ m6A RNA Methylation Quantification Kit, n = 3,nonparametric Mann–Whitney test.</w:t>
      </w:r>
    </w:p>
    <w:p w:rsidR="000A23B3" w:rsidRPr="008C641D" w:rsidRDefault="000A23B3" w:rsidP="000A23B3">
      <w:pPr>
        <w:pStyle w:val="BodyText"/>
        <w:numPr>
          <w:ilvl w:val="0"/>
          <w:numId w:val="3"/>
        </w:numPr>
        <w:spacing w:line="276" w:lineRule="auto"/>
        <w:jc w:val="both"/>
      </w:pPr>
      <w:r w:rsidRPr="008C641D">
        <w:t>Validated efficiency of GV141-ALKBH5-WT plasmid transfection as indicated by Western blot analysis.</w:t>
      </w:r>
    </w:p>
    <w:p w:rsidR="000A23B3" w:rsidRPr="008C641D" w:rsidRDefault="000A23B3" w:rsidP="000A23B3">
      <w:pPr>
        <w:rPr>
          <w:sz w:val="20"/>
          <w:szCs w:val="22"/>
        </w:rPr>
      </w:pPr>
      <w:r w:rsidRPr="008C641D">
        <w:rPr>
          <w:noProof/>
          <w:lang w:eastAsia="en-US"/>
        </w:rPr>
        <w:lastRenderedPageBreak/>
        <w:drawing>
          <wp:inline distT="0" distB="0" distL="0" distR="0" wp14:anchorId="01C5D793" wp14:editId="1DEBE551">
            <wp:extent cx="5274310" cy="4744085"/>
            <wp:effectExtent l="0" t="0" r="2540" b="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1D">
        <w:rPr>
          <w:rFonts w:hint="eastAsia"/>
          <w:sz w:val="20"/>
          <w:szCs w:val="22"/>
        </w:rPr>
        <w:t xml:space="preserve"> Fig</w:t>
      </w:r>
      <w:r w:rsidRPr="008C641D">
        <w:rPr>
          <w:sz w:val="20"/>
          <w:szCs w:val="22"/>
        </w:rPr>
        <w:t>.S3</w:t>
      </w:r>
    </w:p>
    <w:p w:rsidR="000A23B3" w:rsidRPr="008C641D" w:rsidRDefault="000A23B3" w:rsidP="000A23B3">
      <w:pPr>
        <w:pStyle w:val="ListParagraph"/>
        <w:numPr>
          <w:ilvl w:val="0"/>
          <w:numId w:val="1"/>
        </w:numPr>
        <w:tabs>
          <w:tab w:val="left" w:pos="831"/>
        </w:tabs>
        <w:autoSpaceDE w:val="0"/>
        <w:autoSpaceDN w:val="0"/>
        <w:spacing w:before="31"/>
        <w:ind w:right="739"/>
        <w:rPr>
          <w:rFonts w:cs="Arial"/>
        </w:rPr>
      </w:pPr>
      <w:r w:rsidRPr="008C641D">
        <w:rPr>
          <w:rFonts w:cs="Arial"/>
        </w:rPr>
        <w:t>Principal component analysis (PCA) showing that two repeats (shCON: control1 and control2, shALKBH5: shK5_1 and shK5_2) of each sample clustered</w:t>
      </w:r>
      <w:r w:rsidRPr="008C641D">
        <w:rPr>
          <w:rFonts w:cs="Arial"/>
          <w:spacing w:val="-12"/>
        </w:rPr>
        <w:t xml:space="preserve"> </w:t>
      </w:r>
      <w:r w:rsidRPr="008C641D">
        <w:rPr>
          <w:rFonts w:cs="Arial"/>
        </w:rPr>
        <w:t>together.</w:t>
      </w:r>
    </w:p>
    <w:p w:rsidR="000A23B3" w:rsidRPr="008C641D" w:rsidRDefault="000A23B3" w:rsidP="000A23B3">
      <w:pPr>
        <w:pStyle w:val="ListParagraph"/>
        <w:numPr>
          <w:ilvl w:val="0"/>
          <w:numId w:val="1"/>
        </w:numPr>
        <w:tabs>
          <w:tab w:val="left" w:pos="831"/>
        </w:tabs>
        <w:autoSpaceDE w:val="0"/>
        <w:autoSpaceDN w:val="0"/>
        <w:spacing w:before="31"/>
        <w:ind w:right="739"/>
        <w:rPr>
          <w:rFonts w:cs="Arial"/>
        </w:rPr>
      </w:pPr>
      <w:r w:rsidRPr="008C641D">
        <w:rPr>
          <w:rFonts w:cs="Arial"/>
        </w:rPr>
        <w:t>Heat map of the 295 most significantly altered proteins based on</w:t>
      </w:r>
      <w:r w:rsidRPr="008C641D">
        <w:rPr>
          <w:rFonts w:cs="Arial"/>
          <w:sz w:val="32"/>
          <w:szCs w:val="32"/>
        </w:rPr>
        <w:t xml:space="preserve"> </w:t>
      </w:r>
      <w:r w:rsidRPr="008C641D">
        <w:rPr>
          <w:rFonts w:cs="Arial"/>
        </w:rPr>
        <w:t>their intensities and hierarchical clustering analysis; 175 genes were upregulated genes, and 120 genes were downregulated genes as identified by RNA-seq (two</w:t>
      </w:r>
      <w:r w:rsidRPr="008C641D">
        <w:rPr>
          <w:rFonts w:cs="Arial"/>
          <w:spacing w:val="-3"/>
        </w:rPr>
        <w:t xml:space="preserve"> </w:t>
      </w:r>
      <w:r w:rsidRPr="008C641D">
        <w:rPr>
          <w:rFonts w:cs="Arial"/>
        </w:rPr>
        <w:t>replicates).</w:t>
      </w:r>
    </w:p>
    <w:p w:rsidR="000A23B3" w:rsidRPr="008C641D" w:rsidRDefault="000A23B3" w:rsidP="000A23B3">
      <w:pPr>
        <w:pStyle w:val="ListParagraph"/>
        <w:numPr>
          <w:ilvl w:val="0"/>
          <w:numId w:val="1"/>
        </w:numPr>
        <w:tabs>
          <w:tab w:val="left" w:pos="831"/>
        </w:tabs>
        <w:autoSpaceDE w:val="0"/>
        <w:autoSpaceDN w:val="0"/>
        <w:spacing w:before="31"/>
        <w:ind w:right="739"/>
        <w:rPr>
          <w:rFonts w:cs="Arial"/>
        </w:rPr>
      </w:pPr>
      <w:r w:rsidRPr="008C641D">
        <w:rPr>
          <w:rFonts w:cs="Arial"/>
        </w:rPr>
        <w:t>Gene Ontology (GO) (G) and Kyoto Encyclopedia of Genes and Genomes (KEGG) (H) analyses of 175 significantly enriched upregulated genes and 120 significantly enriched downregulated genes as identified by RNA-seq.</w:t>
      </w:r>
    </w:p>
    <w:p w:rsidR="000A23B3" w:rsidRPr="008C641D" w:rsidRDefault="000A23B3" w:rsidP="000A23B3">
      <w:pPr>
        <w:pStyle w:val="ListParagraph"/>
        <w:numPr>
          <w:ilvl w:val="0"/>
          <w:numId w:val="1"/>
        </w:numPr>
        <w:rPr>
          <w:rFonts w:cs="Arial"/>
        </w:rPr>
      </w:pPr>
      <w:r w:rsidRPr="008C641D">
        <w:rPr>
          <w:rFonts w:cs="Arial"/>
        </w:rPr>
        <w:t>GSEA plots showing the pathways of the overlapping genes identified by m</w:t>
      </w:r>
      <w:r w:rsidRPr="008C641D">
        <w:rPr>
          <w:rFonts w:cs="Arial"/>
          <w:vertAlign w:val="superscript"/>
        </w:rPr>
        <w:t>6</w:t>
      </w:r>
      <w:r w:rsidRPr="008C641D">
        <w:rPr>
          <w:rFonts w:cs="Arial"/>
        </w:rPr>
        <w:t>A-seq and RNA-seq.</w:t>
      </w:r>
    </w:p>
    <w:p w:rsidR="000A23B3" w:rsidRPr="008C641D" w:rsidRDefault="000A23B3" w:rsidP="000A23B3">
      <w:pPr>
        <w:rPr>
          <w:sz w:val="20"/>
          <w:szCs w:val="22"/>
        </w:rPr>
      </w:pPr>
      <w:r w:rsidRPr="008C641D">
        <w:rPr>
          <w:noProof/>
          <w:lang w:eastAsia="en-US"/>
        </w:rPr>
        <w:lastRenderedPageBreak/>
        <w:drawing>
          <wp:inline distT="0" distB="0" distL="0" distR="0" wp14:anchorId="7DC90FC5" wp14:editId="256EE404">
            <wp:extent cx="5274310" cy="3951605"/>
            <wp:effectExtent l="0" t="0" r="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1D">
        <w:rPr>
          <w:rFonts w:hint="eastAsia"/>
          <w:sz w:val="20"/>
          <w:szCs w:val="22"/>
        </w:rPr>
        <w:t>Fig</w:t>
      </w:r>
      <w:r w:rsidRPr="008C641D">
        <w:rPr>
          <w:sz w:val="20"/>
          <w:szCs w:val="22"/>
        </w:rPr>
        <w:t>.S4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t>qPCR analysis and Western blotting assays were performed to analyze the relative NFE2L2/NRF2 levels after knockdown of ALKBH5 in Detroit 562 and FaDu cells, n = 3, nonparametric Mann–Whitney test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rPr>
          <w:rFonts w:cs="Arial"/>
        </w:rPr>
        <w:t xml:space="preserve">qPCR analysis and Western blot assays were performed to analyze the relative NFE2L2/NRF2 levels in Detroit 562 cells after transfection with </w:t>
      </w:r>
      <w:r w:rsidRPr="008C641D">
        <w:t>GV141</w:t>
      </w:r>
      <w:r w:rsidRPr="008C641D">
        <w:rPr>
          <w:rFonts w:cs="Arial"/>
        </w:rPr>
        <w:t xml:space="preserve">, </w:t>
      </w:r>
      <w:r w:rsidRPr="008C641D">
        <w:t>GV141</w:t>
      </w:r>
      <w:r w:rsidRPr="008C641D">
        <w:rPr>
          <w:rFonts w:cs="Arial"/>
        </w:rPr>
        <w:t>-ALKBH5-mut (H204</w:t>
      </w:r>
      <w:r w:rsidRPr="008C641D">
        <w:rPr>
          <w:rFonts w:cs="Arial" w:hint="eastAsia"/>
        </w:rPr>
        <w:t>A</w:t>
      </w:r>
      <w:r w:rsidRPr="008C641D">
        <w:rPr>
          <w:rFonts w:cs="Arial"/>
        </w:rPr>
        <w:t xml:space="preserve"> mutant of ALKBH5) and </w:t>
      </w:r>
      <w:r w:rsidRPr="008C641D">
        <w:t>GV141</w:t>
      </w:r>
      <w:r w:rsidRPr="008C641D">
        <w:rPr>
          <w:rFonts w:cs="Arial"/>
        </w:rPr>
        <w:t xml:space="preserve">-ALKBH5-WT, n = 3, nonparametric Mann–Whitney test.  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rPr>
          <w:rFonts w:cs="Arial"/>
        </w:rPr>
        <w:t>The wild-type or mutant (m</w:t>
      </w:r>
      <w:r w:rsidRPr="008C641D">
        <w:rPr>
          <w:rFonts w:cs="Arial"/>
          <w:vertAlign w:val="superscript"/>
        </w:rPr>
        <w:t>6</w:t>
      </w:r>
      <w:r w:rsidRPr="008C641D">
        <w:rPr>
          <w:rFonts w:cs="Arial"/>
        </w:rPr>
        <w:t>A motif mutated) sequence of NFE2L2/NRF2–3</w:t>
      </w:r>
      <w:r w:rsidRPr="008C641D">
        <w:rPr>
          <w:rFonts w:cs="Arial" w:hint="eastAsia"/>
        </w:rPr>
        <w:t>’</w:t>
      </w:r>
      <w:r w:rsidRPr="008C641D">
        <w:rPr>
          <w:rFonts w:cs="Arial"/>
        </w:rPr>
        <w:t>UTR was inserted into a GV306 vector between Firefly and Renilla elements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t xml:space="preserve">Validated efficiency of siRNAs targeting </w:t>
      </w:r>
      <w:r w:rsidRPr="008C641D">
        <w:rPr>
          <w:rFonts w:eastAsiaTheme="minorEastAsia"/>
        </w:rPr>
        <w:t>IGF2BP1/2/3</w:t>
      </w:r>
      <w:r w:rsidRPr="008C641D">
        <w:t xml:space="preserve"> as indicated by both qPCR and Western blot analysis of Detroit 562 cells.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t xml:space="preserve">qPCR analysis was performed to analyze the relative NFE2L2/NRF2 levels after silencing </w:t>
      </w:r>
      <w:r w:rsidRPr="008C641D">
        <w:rPr>
          <w:rFonts w:eastAsiaTheme="minorEastAsia"/>
        </w:rPr>
        <w:t>IGF2BP1/2/3</w:t>
      </w:r>
      <w:r w:rsidRPr="008C641D">
        <w:t xml:space="preserve"> in Detroit 562 and FaDu cells, n = 3, nonparametric Mann–Whitney test</w:t>
      </w:r>
      <w:r w:rsidRPr="008C641D">
        <w:rPr>
          <w:rFonts w:hint="eastAsia"/>
        </w:rPr>
        <w:t>.</w:t>
      </w:r>
      <w:r w:rsidRPr="008C641D">
        <w:t xml:space="preserve"> 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rPr>
          <w:rFonts w:cs="Arial"/>
        </w:rPr>
        <w:t xml:space="preserve">The NFE2L2/NRF2 mRNA half-life (t </w:t>
      </w:r>
      <w:r w:rsidRPr="008C641D">
        <w:rPr>
          <w:rFonts w:cs="Arial"/>
          <w:vertAlign w:val="subscript"/>
        </w:rPr>
        <w:t>1/2</w:t>
      </w:r>
      <w:r w:rsidRPr="008C641D">
        <w:rPr>
          <w:rFonts w:cs="Arial"/>
        </w:rPr>
        <w:t xml:space="preserve">) was detected by real-time PCR in Detroit 562 and FaDu cells transfected with siCON and siIGF2BP1/2/3. </w:t>
      </w:r>
    </w:p>
    <w:p w:rsidR="000A23B3" w:rsidRPr="008C641D" w:rsidRDefault="000A23B3" w:rsidP="000A23B3">
      <w:pPr>
        <w:pStyle w:val="ListParagraph"/>
        <w:numPr>
          <w:ilvl w:val="0"/>
          <w:numId w:val="4"/>
        </w:numPr>
      </w:pPr>
      <w:r w:rsidRPr="008C641D">
        <w:rPr>
          <w:rFonts w:cs="Arial"/>
        </w:rPr>
        <w:t>NFE2L2/NRF2 correlated with IGF2BP2 expression in TCGA HNSCC Dataset.</w:t>
      </w:r>
    </w:p>
    <w:p w:rsidR="000A23B3" w:rsidRPr="008C641D" w:rsidRDefault="000A23B3" w:rsidP="000A23B3">
      <w:pPr>
        <w:rPr>
          <w:rFonts w:hAnsi="Arial"/>
          <w:sz w:val="20"/>
          <w:szCs w:val="22"/>
        </w:rPr>
      </w:pPr>
      <w:r w:rsidRPr="008C641D">
        <w:rPr>
          <w:noProof/>
          <w:lang w:eastAsia="en-US"/>
        </w:rPr>
        <w:lastRenderedPageBreak/>
        <w:drawing>
          <wp:inline distT="0" distB="0" distL="0" distR="0" wp14:anchorId="2A2E3337" wp14:editId="496F7C94">
            <wp:extent cx="5274310" cy="5772785"/>
            <wp:effectExtent l="0" t="0" r="0" b="0"/>
            <wp:docPr id="25" name="Picture 25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B3" w:rsidRPr="008C641D" w:rsidRDefault="000A23B3" w:rsidP="000A23B3">
      <w:pPr>
        <w:rPr>
          <w:rFonts w:hAnsi="Arial"/>
          <w:sz w:val="20"/>
          <w:szCs w:val="22"/>
        </w:rPr>
      </w:pPr>
      <w:r w:rsidRPr="008C641D">
        <w:rPr>
          <w:rFonts w:hint="eastAsia"/>
          <w:sz w:val="20"/>
          <w:szCs w:val="22"/>
        </w:rPr>
        <w:t>Fig</w:t>
      </w:r>
      <w:r w:rsidRPr="008C641D">
        <w:rPr>
          <w:sz w:val="20"/>
          <w:szCs w:val="22"/>
        </w:rPr>
        <w:t>.S5</w:t>
      </w:r>
    </w:p>
    <w:p w:rsidR="000A23B3" w:rsidRPr="008C641D" w:rsidRDefault="000A23B3" w:rsidP="000A23B3">
      <w:pPr>
        <w:pStyle w:val="ListParagraph"/>
        <w:numPr>
          <w:ilvl w:val="0"/>
          <w:numId w:val="6"/>
        </w:numPr>
        <w:tabs>
          <w:tab w:val="left" w:pos="831"/>
        </w:tabs>
        <w:autoSpaceDE w:val="0"/>
        <w:autoSpaceDN w:val="0"/>
        <w:ind w:right="445"/>
        <w:rPr>
          <w:rFonts w:eastAsia="Arial" w:cs="Arial"/>
          <w:kern w:val="0"/>
          <w:lang w:eastAsia="en-US" w:bidi="en-US"/>
        </w:rPr>
      </w:pPr>
      <w:r w:rsidRPr="008C641D">
        <w:t>Validated efficiency of siRNAs silencing NFE2L2/NRF2 as indicated by both qPCR and Western blot analysis of Detroit 562 cells.</w:t>
      </w:r>
    </w:p>
    <w:p w:rsidR="000A23B3" w:rsidRPr="008C641D" w:rsidRDefault="000A23B3" w:rsidP="000A23B3">
      <w:pPr>
        <w:pStyle w:val="ListParagraph"/>
        <w:numPr>
          <w:ilvl w:val="0"/>
          <w:numId w:val="6"/>
        </w:numPr>
        <w:tabs>
          <w:tab w:val="left" w:pos="831"/>
        </w:tabs>
        <w:autoSpaceDE w:val="0"/>
        <w:autoSpaceDN w:val="0"/>
        <w:ind w:right="445"/>
        <w:rPr>
          <w:rFonts w:eastAsia="Arial" w:cs="Arial"/>
          <w:kern w:val="0"/>
          <w:lang w:eastAsia="en-US" w:bidi="en-US"/>
        </w:rPr>
      </w:pPr>
      <w:r w:rsidRPr="008C641D">
        <w:t>Validated efficiency of transfection NFE2L2/NRF2 WT plasmid as indicated by Western blot analysis of FaDu cells.</w:t>
      </w:r>
    </w:p>
    <w:p w:rsidR="000A23B3" w:rsidRPr="008C641D" w:rsidRDefault="000A23B3" w:rsidP="000A23B3">
      <w:pPr>
        <w:pStyle w:val="ListParagraph"/>
        <w:numPr>
          <w:ilvl w:val="0"/>
          <w:numId w:val="6"/>
        </w:numPr>
        <w:tabs>
          <w:tab w:val="left" w:pos="831"/>
        </w:tabs>
        <w:autoSpaceDE w:val="0"/>
        <w:autoSpaceDN w:val="0"/>
        <w:ind w:right="445"/>
        <w:rPr>
          <w:rFonts w:eastAsia="Arial" w:cs="Arial"/>
          <w:kern w:val="0"/>
          <w:lang w:eastAsia="en-US" w:bidi="en-US"/>
        </w:rPr>
      </w:pPr>
      <w:r w:rsidRPr="008C641D">
        <w:rPr>
          <w:rFonts w:cs="Arial"/>
        </w:rPr>
        <w:t>Western blotting assays were performed to analyze NFE2L2/NRF2,GPX4,FTH1 levels after transfection with NRF2-WT plasmid in FaDu control and ALKBH5-overexpress</w:t>
      </w:r>
      <w:r w:rsidRPr="008C641D">
        <w:rPr>
          <w:rFonts w:cs="Arial" w:hint="eastAsia"/>
        </w:rPr>
        <w:t>ed</w:t>
      </w:r>
      <w:r w:rsidRPr="008C641D">
        <w:rPr>
          <w:rFonts w:cs="Arial"/>
        </w:rPr>
        <w:t xml:space="preserve"> cells.</w:t>
      </w:r>
    </w:p>
    <w:p w:rsidR="000A23B3" w:rsidRPr="008C641D" w:rsidRDefault="000A23B3" w:rsidP="000A23B3">
      <w:pPr>
        <w:pStyle w:val="ListParagraph"/>
        <w:numPr>
          <w:ilvl w:val="0"/>
          <w:numId w:val="6"/>
        </w:numPr>
        <w:tabs>
          <w:tab w:val="left" w:pos="831"/>
        </w:tabs>
        <w:autoSpaceDE w:val="0"/>
        <w:autoSpaceDN w:val="0"/>
        <w:ind w:right="445"/>
        <w:rPr>
          <w:rFonts w:eastAsia="Arial" w:cs="Arial"/>
          <w:kern w:val="0"/>
          <w:lang w:eastAsia="en-US" w:bidi="en-US"/>
        </w:rPr>
      </w:pPr>
      <w:r w:rsidRPr="008C641D">
        <w:rPr>
          <w:rFonts w:cs="Arial"/>
        </w:rPr>
        <w:t>e. Cell viability assay (</w:t>
      </w:r>
      <w:r w:rsidRPr="008C641D">
        <w:rPr>
          <w:rFonts w:cs="Arial" w:hint="eastAsia"/>
        </w:rPr>
        <w:t>d</w:t>
      </w:r>
      <w:r w:rsidRPr="008C641D">
        <w:rPr>
          <w:rFonts w:cs="Arial"/>
        </w:rPr>
        <w:t>), LDH release assay (e) and colony formation assay were performed with WT and ALKBH5-overexpressed F</w:t>
      </w:r>
      <w:r w:rsidRPr="008C641D">
        <w:rPr>
          <w:rFonts w:cs="Arial" w:hint="eastAsia"/>
        </w:rPr>
        <w:t>aD</w:t>
      </w:r>
      <w:r w:rsidRPr="008C641D">
        <w:rPr>
          <w:rFonts w:cs="Arial"/>
        </w:rPr>
        <w:t>u cells transfected with a control vector (</w:t>
      </w:r>
      <w:r w:rsidRPr="008C641D">
        <w:rPr>
          <w:rFonts w:cs="Arial" w:hint="eastAsia"/>
        </w:rPr>
        <w:t>GV</w:t>
      </w:r>
      <w:r w:rsidRPr="008C641D">
        <w:rPr>
          <w:rFonts w:cs="Arial"/>
        </w:rPr>
        <w:t>306) or GV306 NFE2L2/NRF2-WT and subsequently treated with 5μm RSL3.</w:t>
      </w:r>
    </w:p>
    <w:p w:rsidR="000A23B3" w:rsidRPr="008C641D" w:rsidRDefault="000A23B3" w:rsidP="000A23B3">
      <w:pPr>
        <w:pStyle w:val="ListParagraph"/>
        <w:numPr>
          <w:ilvl w:val="0"/>
          <w:numId w:val="7"/>
        </w:numPr>
      </w:pPr>
      <w:r w:rsidRPr="008C641D">
        <w:rPr>
          <w:rFonts w:cs="Arial"/>
        </w:rPr>
        <w:lastRenderedPageBreak/>
        <w:t>NFE2L2/NRF2 correlated with GPX4 expression in TCGA HNSCC Dataset</w:t>
      </w:r>
    </w:p>
    <w:p w:rsidR="000A23B3" w:rsidRPr="008C641D" w:rsidRDefault="000A23B3" w:rsidP="000A23B3">
      <w:pPr>
        <w:pStyle w:val="ListParagraph"/>
        <w:numPr>
          <w:ilvl w:val="0"/>
          <w:numId w:val="7"/>
        </w:numPr>
      </w:pPr>
      <w:r w:rsidRPr="008C641D">
        <w:rPr>
          <w:rFonts w:cs="Arial"/>
          <w:szCs w:val="20"/>
        </w:rPr>
        <w:t>NFE2L2/NRF2</w:t>
      </w:r>
      <w:r w:rsidRPr="008C641D">
        <w:rPr>
          <w:szCs w:val="20"/>
        </w:rPr>
        <w:t xml:space="preserve"> functional association data including the protein and genetic interactions, pathways, co-expression, co-localization is summarized by</w:t>
      </w:r>
      <w:r w:rsidRPr="008C641D">
        <w:t xml:space="preserve"> </w:t>
      </w:r>
      <w:r w:rsidRPr="008C641D">
        <w:rPr>
          <w:szCs w:val="20"/>
        </w:rPr>
        <w:t>GeneMANIA (</w:t>
      </w:r>
      <w:hyperlink r:id="rId10" w:history="1">
        <w:r w:rsidRPr="008C641D">
          <w:rPr>
            <w:rStyle w:val="Hyperlink"/>
            <w:szCs w:val="20"/>
          </w:rPr>
          <w:t>http://genemania.org</w:t>
        </w:r>
      </w:hyperlink>
      <w:r w:rsidRPr="008C641D">
        <w:rPr>
          <w:szCs w:val="20"/>
        </w:rPr>
        <w:t>).</w:t>
      </w:r>
    </w:p>
    <w:p w:rsidR="000A23B3" w:rsidRPr="008C641D" w:rsidRDefault="000A23B3" w:rsidP="000A23B3">
      <w:pPr>
        <w:pStyle w:val="ListParagraph"/>
        <w:ind w:firstLine="0"/>
      </w:pPr>
    </w:p>
    <w:p w:rsidR="000A23B3" w:rsidRPr="008C641D" w:rsidRDefault="000A23B3" w:rsidP="000A23B3">
      <w:pPr>
        <w:pStyle w:val="Heading1"/>
        <w:rPr>
          <w:color w:val="auto"/>
          <w:sz w:val="20"/>
          <w:szCs w:val="20"/>
        </w:rPr>
      </w:pPr>
      <w:r w:rsidRPr="008C641D">
        <w:rPr>
          <w:color w:val="auto"/>
          <w:sz w:val="20"/>
          <w:szCs w:val="20"/>
        </w:rPr>
        <w:t>Supplementary data</w:t>
      </w:r>
    </w:p>
    <w:p w:rsidR="000A23B3" w:rsidRPr="008C641D" w:rsidRDefault="000A23B3" w:rsidP="000A23B3">
      <w:pPr>
        <w:pStyle w:val="Heading2"/>
        <w:rPr>
          <w:color w:val="auto"/>
          <w:sz w:val="20"/>
          <w:szCs w:val="20"/>
        </w:rPr>
      </w:pPr>
      <w:bookmarkStart w:id="0" w:name="_Hlk42456832"/>
      <w:r w:rsidRPr="008C641D">
        <w:rPr>
          <w:color w:val="auto"/>
          <w:sz w:val="20"/>
          <w:szCs w:val="20"/>
        </w:rPr>
        <w:t>Supplementary 1</w:t>
      </w:r>
    </w:p>
    <w:p w:rsidR="000A23B3" w:rsidRPr="008C641D" w:rsidRDefault="000A23B3" w:rsidP="000A23B3">
      <w:pPr>
        <w:pStyle w:val="Heading2"/>
        <w:rPr>
          <w:rFonts w:eastAsia="STFangsong" w:cs="Arial"/>
          <w:color w:val="auto"/>
          <w:kern w:val="2"/>
          <w:sz w:val="20"/>
          <w:szCs w:val="20"/>
        </w:rPr>
      </w:pPr>
      <w:r w:rsidRPr="008C641D">
        <w:rPr>
          <w:rFonts w:eastAsia="STFangsong" w:cs="Arial"/>
          <w:color w:val="auto"/>
          <w:kern w:val="2"/>
          <w:sz w:val="20"/>
          <w:szCs w:val="20"/>
        </w:rPr>
        <w:t>Supplementary Materials and methods</w:t>
      </w:r>
    </w:p>
    <w:bookmarkEnd w:id="0"/>
    <w:p w:rsidR="000A23B3" w:rsidRPr="008C641D" w:rsidRDefault="000A23B3" w:rsidP="000A23B3">
      <w:pPr>
        <w:pStyle w:val="Heading2"/>
        <w:rPr>
          <w:color w:val="auto"/>
          <w:sz w:val="20"/>
          <w:szCs w:val="20"/>
        </w:rPr>
      </w:pPr>
      <w:r w:rsidRPr="008C641D">
        <w:rPr>
          <w:color w:val="auto"/>
          <w:sz w:val="20"/>
          <w:szCs w:val="20"/>
        </w:rPr>
        <w:t>Supplementary 2</w:t>
      </w:r>
    </w:p>
    <w:p w:rsidR="000A23B3" w:rsidRPr="008C641D" w:rsidRDefault="000A23B3" w:rsidP="000A23B3">
      <w:pPr>
        <w:rPr>
          <w:sz w:val="20"/>
          <w:szCs w:val="20"/>
        </w:rPr>
      </w:pPr>
      <w:r w:rsidRPr="008C641D">
        <w:rPr>
          <w:sz w:val="20"/>
          <w:szCs w:val="20"/>
        </w:rPr>
        <w:t xml:space="preserve">Mutation sequences </w:t>
      </w:r>
    </w:p>
    <w:p w:rsidR="000A23B3" w:rsidRPr="008C641D" w:rsidRDefault="000A23B3" w:rsidP="000A23B3">
      <w:pPr>
        <w:pStyle w:val="Heading2"/>
        <w:rPr>
          <w:color w:val="auto"/>
          <w:sz w:val="20"/>
          <w:szCs w:val="20"/>
        </w:rPr>
      </w:pPr>
      <w:r w:rsidRPr="008C641D">
        <w:rPr>
          <w:color w:val="auto"/>
          <w:sz w:val="20"/>
          <w:szCs w:val="20"/>
        </w:rPr>
        <w:t>Supplementary 3</w:t>
      </w:r>
    </w:p>
    <w:p w:rsidR="000A23B3" w:rsidRPr="008C641D" w:rsidRDefault="000A23B3" w:rsidP="000A23B3">
      <w:pPr>
        <w:rPr>
          <w:sz w:val="20"/>
          <w:szCs w:val="20"/>
        </w:rPr>
      </w:pPr>
      <w:r w:rsidRPr="008C641D">
        <w:rPr>
          <w:sz w:val="20"/>
          <w:szCs w:val="20"/>
        </w:rPr>
        <w:t>Primers and siRNA</w:t>
      </w:r>
    </w:p>
    <w:p w:rsidR="000A23B3" w:rsidRPr="004C7352" w:rsidRDefault="000A23B3" w:rsidP="000A23B3"/>
    <w:p w:rsidR="00B57F37" w:rsidRDefault="000A23B3">
      <w:bookmarkStart w:id="1" w:name="_GoBack"/>
      <w:bookmarkEnd w:id="1"/>
    </w:p>
    <w:sectPr w:rsidR="00B57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Fangsong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690F"/>
    <w:multiLevelType w:val="hybridMultilevel"/>
    <w:tmpl w:val="F15E698C"/>
    <w:lvl w:ilvl="0" w:tplc="9328D7C4">
      <w:start w:val="1"/>
      <w:numFmt w:val="lowerLetter"/>
      <w:lvlText w:val="%1."/>
      <w:lvlJc w:val="left"/>
      <w:pPr>
        <w:ind w:left="720" w:hanging="36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A0A13"/>
    <w:multiLevelType w:val="hybridMultilevel"/>
    <w:tmpl w:val="3CD05896"/>
    <w:lvl w:ilvl="0" w:tplc="9BD8579C">
      <w:start w:val="1"/>
      <w:numFmt w:val="lowerLetter"/>
      <w:lvlText w:val="%1."/>
      <w:lvlJc w:val="left"/>
      <w:pPr>
        <w:ind w:left="1196" w:hanging="36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22D73"/>
    <w:multiLevelType w:val="hybridMultilevel"/>
    <w:tmpl w:val="82A0A140"/>
    <w:lvl w:ilvl="0" w:tplc="1BB07CEA">
      <w:start w:val="1"/>
      <w:numFmt w:val="lowerLetter"/>
      <w:lvlText w:val="%1."/>
      <w:lvlJc w:val="left"/>
      <w:pPr>
        <w:ind w:left="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F46E1"/>
    <w:multiLevelType w:val="hybridMultilevel"/>
    <w:tmpl w:val="DEDAF9DE"/>
    <w:lvl w:ilvl="0" w:tplc="74F8DC06">
      <w:start w:val="1"/>
      <w:numFmt w:val="lowerLetter"/>
      <w:lvlText w:val="%1."/>
      <w:lvlJc w:val="left"/>
      <w:pPr>
        <w:ind w:left="1117" w:hanging="36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67920ADC"/>
    <w:multiLevelType w:val="hybridMultilevel"/>
    <w:tmpl w:val="946A3CAA"/>
    <w:lvl w:ilvl="0" w:tplc="B73058BC">
      <w:start w:val="1"/>
      <w:numFmt w:val="lowerLetter"/>
      <w:lvlText w:val="%1."/>
      <w:lvlJc w:val="left"/>
      <w:pPr>
        <w:ind w:left="720" w:hanging="36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26DD9"/>
    <w:multiLevelType w:val="hybridMultilevel"/>
    <w:tmpl w:val="2CC4E80C"/>
    <w:lvl w:ilvl="0" w:tplc="B8DA0834">
      <w:start w:val="3"/>
      <w:numFmt w:val="lowerLetter"/>
      <w:lvlText w:val="%1."/>
      <w:lvlJc w:val="left"/>
      <w:pPr>
        <w:ind w:left="1117" w:hanging="360"/>
      </w:pPr>
      <w:rPr>
        <w:rFonts w:hint="eastAsia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72DE8"/>
    <w:multiLevelType w:val="hybridMultilevel"/>
    <w:tmpl w:val="C5F49490"/>
    <w:lvl w:ilvl="0" w:tplc="10A4E320">
      <w:start w:val="6"/>
      <w:numFmt w:val="lowerLetter"/>
      <w:lvlText w:val="%1."/>
      <w:lvlJc w:val="left"/>
      <w:pPr>
        <w:ind w:left="720" w:hanging="36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3B3"/>
    <w:rsid w:val="000A23B3"/>
    <w:rsid w:val="00935206"/>
    <w:rsid w:val="00953E1B"/>
    <w:rsid w:val="00FF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152AE-A895-49D0-998E-FC86A184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3B3"/>
    <w:pPr>
      <w:spacing w:after="0" w:line="360" w:lineRule="auto"/>
    </w:pPr>
    <w:rPr>
      <w:rFonts w:ascii="Arial" w:eastAsia="SimSun" w:hAnsi="SimSun" w:cs="SimSu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3B3"/>
    <w:pPr>
      <w:keepNext/>
      <w:keepLines/>
      <w:spacing w:before="240" w:line="288" w:lineRule="auto"/>
      <w:outlineLvl w:val="0"/>
    </w:pPr>
    <w:rPr>
      <w:rFonts w:eastAsiaTheme="majorEastAsia" w:hAnsi="Arial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3B3"/>
    <w:pPr>
      <w:keepNext/>
      <w:keepLines/>
      <w:spacing w:before="40"/>
      <w:outlineLvl w:val="1"/>
    </w:pPr>
    <w:rPr>
      <w:rFonts w:eastAsiaTheme="majorEastAsia" w:hAnsi="Arial" w:cstheme="majorBidi"/>
      <w:color w:val="2E74B5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23B3"/>
    <w:rPr>
      <w:rFonts w:ascii="Arial" w:eastAsiaTheme="majorEastAsia" w:hAnsi="Arial" w:cstheme="majorBidi"/>
      <w:color w:val="2E74B5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A23B3"/>
    <w:rPr>
      <w:rFonts w:ascii="Arial" w:eastAsiaTheme="majorEastAsia" w:hAnsi="Arial" w:cstheme="majorBidi"/>
      <w:color w:val="2E74B5" w:themeColor="accent1" w:themeShade="BF"/>
      <w:sz w:val="24"/>
      <w:szCs w:val="26"/>
      <w:lang w:eastAsia="zh-CN"/>
    </w:rPr>
  </w:style>
  <w:style w:type="character" w:styleId="Hyperlink">
    <w:name w:val="Hyperlink"/>
    <w:basedOn w:val="DefaultParagraphFont"/>
    <w:uiPriority w:val="99"/>
    <w:unhideWhenUsed/>
    <w:rsid w:val="000A23B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A23B3"/>
    <w:pPr>
      <w:widowControl w:val="0"/>
      <w:autoSpaceDE w:val="0"/>
      <w:autoSpaceDN w:val="0"/>
      <w:spacing w:line="240" w:lineRule="auto"/>
      <w:ind w:left="830"/>
    </w:pPr>
    <w:rPr>
      <w:rFonts w:eastAsia="Arial" w:hAnsi="Arial" w:cs="Arial"/>
      <w:sz w:val="20"/>
      <w:szCs w:val="20"/>
      <w:lang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A23B3"/>
    <w:rPr>
      <w:rFonts w:ascii="Arial" w:eastAsia="Arial" w:hAnsi="Arial" w:cs="Arial"/>
      <w:sz w:val="20"/>
      <w:szCs w:val="20"/>
      <w:lang w:bidi="en-US"/>
    </w:rPr>
  </w:style>
  <w:style w:type="paragraph" w:styleId="ListParagraph">
    <w:name w:val="List Paragraph"/>
    <w:basedOn w:val="Normal"/>
    <w:uiPriority w:val="1"/>
    <w:qFormat/>
    <w:rsid w:val="000A23B3"/>
    <w:pPr>
      <w:widowControl w:val="0"/>
      <w:spacing w:line="276" w:lineRule="auto"/>
      <w:ind w:left="720" w:firstLine="418"/>
      <w:contextualSpacing/>
      <w:jc w:val="both"/>
    </w:pPr>
    <w:rPr>
      <w:rFonts w:eastAsia="STFangsong" w:hAnsi="Arial" w:cs="Times New Roman"/>
      <w:kern w:val="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genemani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Amrutkar</dc:creator>
  <cp:keywords/>
  <dc:description/>
  <cp:lastModifiedBy>Neha Amrutkar</cp:lastModifiedBy>
  <cp:revision>1</cp:revision>
  <dcterms:created xsi:type="dcterms:W3CDTF">2021-06-07T16:50:00Z</dcterms:created>
  <dcterms:modified xsi:type="dcterms:W3CDTF">2021-06-07T16:50:00Z</dcterms:modified>
</cp:coreProperties>
</file>