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6EA9" w14:textId="77777777" w:rsidR="00CC58A4" w:rsidRPr="00CC58A4" w:rsidRDefault="00CC58A4" w:rsidP="00CC58A4">
      <w:pPr>
        <w:spacing w:after="0" w:line="480" w:lineRule="auto"/>
        <w:ind w:left="-288" w:right="-288"/>
        <w:rPr>
          <w:rFonts w:asciiTheme="majorBidi" w:hAnsiTheme="majorBidi" w:cstheme="majorBidi"/>
          <w:b/>
          <w:bCs/>
          <w:sz w:val="24"/>
          <w:szCs w:val="24"/>
        </w:rPr>
      </w:pPr>
      <w:r w:rsidRPr="00CC58A4">
        <w:rPr>
          <w:rFonts w:asciiTheme="majorBidi" w:hAnsiTheme="majorBidi" w:cstheme="majorBidi"/>
          <w:b/>
          <w:bCs/>
          <w:sz w:val="24"/>
          <w:szCs w:val="24"/>
        </w:rPr>
        <w:t>BMC Research Notes</w:t>
      </w:r>
    </w:p>
    <w:p w14:paraId="1C448043" w14:textId="49D8A06D" w:rsidR="00CC58A4" w:rsidRPr="00CC58A4" w:rsidRDefault="00CC58A4" w:rsidP="00CC58A4">
      <w:pPr>
        <w:spacing w:after="0" w:line="480" w:lineRule="auto"/>
        <w:ind w:left="-288" w:right="-288"/>
        <w:rPr>
          <w:rFonts w:asciiTheme="majorBidi" w:hAnsiTheme="majorBidi" w:cstheme="majorBidi"/>
          <w:b/>
          <w:bCs/>
          <w:sz w:val="24"/>
          <w:szCs w:val="24"/>
        </w:rPr>
      </w:pPr>
      <w:r w:rsidRPr="00CC58A4">
        <w:rPr>
          <w:rFonts w:asciiTheme="majorBidi" w:hAnsiTheme="majorBidi" w:cstheme="majorBidi"/>
          <w:sz w:val="24"/>
          <w:szCs w:val="24"/>
        </w:rPr>
        <w:t>RESN-D-20-01451</w:t>
      </w:r>
      <w:r w:rsidRPr="00CC58A4">
        <w:rPr>
          <w:sz w:val="24"/>
          <w:szCs w:val="24"/>
        </w:rPr>
        <w:br/>
      </w:r>
      <w:r w:rsidRPr="00CC58A4">
        <w:rPr>
          <w:rFonts w:asciiTheme="majorBidi" w:hAnsiTheme="majorBidi" w:cstheme="majorBidi"/>
          <w:b/>
          <w:bCs/>
          <w:sz w:val="24"/>
          <w:szCs w:val="24"/>
        </w:rPr>
        <w:t>Clinical Value of Ficolin-3 Gene Polymorphism in Rheumatic Heart Disease. An Egyptian Adolescents Study</w:t>
      </w:r>
    </w:p>
    <w:p w14:paraId="04F1F3FD" w14:textId="530A30C3" w:rsidR="005E0C63" w:rsidRPr="00FE0D0B" w:rsidRDefault="005E0C63" w:rsidP="00CC58A4">
      <w:pPr>
        <w:autoSpaceDE w:val="0"/>
        <w:autoSpaceDN w:val="0"/>
        <w:adjustRightInd w:val="0"/>
        <w:spacing w:before="240" w:line="480" w:lineRule="auto"/>
        <w:jc w:val="both"/>
        <w:rPr>
          <w:rFonts w:asciiTheme="majorBidi" w:hAnsiTheme="majorBidi" w:cstheme="majorBidi"/>
          <w:b/>
          <w:bCs/>
          <w:spacing w:val="-2"/>
          <w:position w:val="-2"/>
          <w:sz w:val="24"/>
          <w:szCs w:val="24"/>
        </w:rPr>
      </w:pPr>
      <w:r w:rsidRPr="00FE0D0B">
        <w:rPr>
          <w:rFonts w:asciiTheme="majorBidi" w:hAnsiTheme="majorBidi" w:cstheme="majorBidi"/>
          <w:b/>
          <w:bCs/>
          <w:spacing w:val="-2"/>
          <w:position w:val="-2"/>
          <w:sz w:val="24"/>
          <w:szCs w:val="24"/>
        </w:rPr>
        <w:t>ELISA kit methodology</w:t>
      </w:r>
      <w:r w:rsidR="00FE0D0B" w:rsidRPr="00FE0D0B">
        <w:rPr>
          <w:rFonts w:asciiTheme="majorBidi" w:hAnsiTheme="majorBidi" w:cstheme="majorBidi"/>
          <w:b/>
          <w:bCs/>
          <w:spacing w:val="-2"/>
          <w:position w:val="-2"/>
          <w:sz w:val="24"/>
          <w:szCs w:val="24"/>
        </w:rPr>
        <w:t>:</w:t>
      </w:r>
      <w:r w:rsidRPr="00FE0D0B">
        <w:rPr>
          <w:rFonts w:asciiTheme="majorBidi" w:hAnsiTheme="majorBidi" w:cstheme="majorBidi"/>
          <w:b/>
          <w:bCs/>
          <w:spacing w:val="-2"/>
          <w:position w:val="-2"/>
          <w:sz w:val="24"/>
          <w:szCs w:val="24"/>
        </w:rPr>
        <w:t xml:space="preserve"> </w:t>
      </w:r>
    </w:p>
    <w:p w14:paraId="54107188" w14:textId="4D221DEE" w:rsidR="00FE0D0B" w:rsidRDefault="00CC58A4" w:rsidP="00FE0D0B">
      <w:pPr>
        <w:autoSpaceDE w:val="0"/>
        <w:autoSpaceDN w:val="0"/>
        <w:adjustRightInd w:val="0"/>
        <w:spacing w:line="480" w:lineRule="auto"/>
        <w:jc w:val="both"/>
        <w:rPr>
          <w:rFonts w:asciiTheme="majorBidi" w:hAnsiTheme="majorBidi" w:cstheme="majorBidi"/>
          <w:spacing w:val="-2"/>
          <w:position w:val="-2"/>
          <w:sz w:val="24"/>
          <w:szCs w:val="24"/>
        </w:rPr>
      </w:pPr>
      <w:r>
        <w:rPr>
          <w:rFonts w:asciiTheme="majorBidi" w:hAnsiTheme="majorBidi" w:cstheme="majorBidi"/>
          <w:sz w:val="24"/>
          <w:szCs w:val="24"/>
        </w:rPr>
        <w:t>Serum f</w:t>
      </w:r>
      <w:r w:rsidR="00FE0D0B" w:rsidRPr="00B70F62">
        <w:rPr>
          <w:rFonts w:asciiTheme="majorBidi" w:hAnsiTheme="majorBidi" w:cstheme="majorBidi"/>
          <w:sz w:val="24"/>
          <w:szCs w:val="24"/>
        </w:rPr>
        <w:t>icolin-3</w:t>
      </w:r>
      <w:r w:rsidR="00FE0D0B">
        <w:rPr>
          <w:rFonts w:asciiTheme="majorBidi" w:hAnsiTheme="majorBidi" w:cstheme="majorBidi"/>
          <w:sz w:val="24"/>
          <w:szCs w:val="24"/>
        </w:rPr>
        <w:t xml:space="preserve"> levels in all investigated groups were estimated</w:t>
      </w:r>
      <w:r w:rsidR="00FE0D0B" w:rsidRPr="00B70F62">
        <w:rPr>
          <w:rFonts w:asciiTheme="majorBidi" w:hAnsiTheme="majorBidi" w:cstheme="majorBidi"/>
          <w:sz w:val="24"/>
          <w:szCs w:val="24"/>
        </w:rPr>
        <w:t xml:space="preserve"> by enzyme-linked immunosorbent assay</w:t>
      </w:r>
      <w:r w:rsidR="00FE0D0B" w:rsidRPr="00B70F62">
        <w:rPr>
          <w:rFonts w:asciiTheme="majorBidi" w:hAnsiTheme="majorBidi" w:cstheme="majorBidi"/>
          <w:spacing w:val="-17"/>
          <w:position w:val="-4"/>
          <w:sz w:val="24"/>
          <w:szCs w:val="24"/>
        </w:rPr>
        <w:t xml:space="preserve"> </w:t>
      </w:r>
      <w:r w:rsidR="00FE0D0B" w:rsidRPr="00B70F62">
        <w:rPr>
          <w:rFonts w:asciiTheme="majorBidi" w:hAnsiTheme="majorBidi" w:cstheme="majorBidi"/>
          <w:spacing w:val="-16"/>
          <w:position w:val="-4"/>
          <w:sz w:val="24"/>
          <w:szCs w:val="24"/>
        </w:rPr>
        <w:t xml:space="preserve"> </w:t>
      </w:r>
      <w:r w:rsidR="00FE0D0B">
        <w:rPr>
          <w:rFonts w:asciiTheme="majorBidi" w:hAnsiTheme="majorBidi" w:cstheme="majorBidi"/>
          <w:spacing w:val="-1"/>
          <w:position w:val="-4"/>
          <w:sz w:val="24"/>
          <w:szCs w:val="24"/>
        </w:rPr>
        <w:t>using</w:t>
      </w:r>
      <w:r w:rsidR="00FE0D0B" w:rsidRPr="00B70F62">
        <w:rPr>
          <w:rFonts w:asciiTheme="majorBidi" w:hAnsiTheme="majorBidi" w:cstheme="majorBidi"/>
          <w:spacing w:val="-14"/>
          <w:position w:val="-4"/>
          <w:sz w:val="24"/>
          <w:szCs w:val="24"/>
        </w:rPr>
        <w:t xml:space="preserve"> </w:t>
      </w:r>
      <w:r w:rsidR="00FE0D0B" w:rsidRPr="00B70F62">
        <w:rPr>
          <w:rFonts w:asciiTheme="majorBidi" w:hAnsiTheme="majorBidi" w:cstheme="majorBidi"/>
          <w:position w:val="-4"/>
          <w:sz w:val="24"/>
          <w:szCs w:val="24"/>
        </w:rPr>
        <w:t>c</w:t>
      </w:r>
      <w:r w:rsidR="00FE0D0B" w:rsidRPr="00B70F62">
        <w:rPr>
          <w:rFonts w:asciiTheme="majorBidi" w:hAnsiTheme="majorBidi" w:cstheme="majorBidi"/>
          <w:spacing w:val="4"/>
          <w:position w:val="-4"/>
          <w:sz w:val="24"/>
          <w:szCs w:val="24"/>
        </w:rPr>
        <w:t>o</w:t>
      </w:r>
      <w:r w:rsidR="00FE0D0B" w:rsidRPr="00B70F62">
        <w:rPr>
          <w:rFonts w:asciiTheme="majorBidi" w:hAnsiTheme="majorBidi" w:cstheme="majorBidi"/>
          <w:spacing w:val="-1"/>
          <w:position w:val="-4"/>
          <w:sz w:val="24"/>
          <w:szCs w:val="24"/>
        </w:rPr>
        <w:t>mm</w:t>
      </w:r>
      <w:r w:rsidR="00FE0D0B" w:rsidRPr="00B70F62">
        <w:rPr>
          <w:rFonts w:asciiTheme="majorBidi" w:hAnsiTheme="majorBidi" w:cstheme="majorBidi"/>
          <w:position w:val="-4"/>
          <w:sz w:val="24"/>
          <w:szCs w:val="24"/>
        </w:rPr>
        <w:t>e</w:t>
      </w:r>
      <w:r w:rsidR="00FE0D0B" w:rsidRPr="00B70F62">
        <w:rPr>
          <w:rFonts w:asciiTheme="majorBidi" w:hAnsiTheme="majorBidi" w:cstheme="majorBidi"/>
          <w:spacing w:val="1"/>
          <w:position w:val="-4"/>
          <w:sz w:val="24"/>
          <w:szCs w:val="24"/>
        </w:rPr>
        <w:t>r</w:t>
      </w:r>
      <w:r w:rsidR="00FE0D0B" w:rsidRPr="00B70F62">
        <w:rPr>
          <w:rFonts w:asciiTheme="majorBidi" w:hAnsiTheme="majorBidi" w:cstheme="majorBidi"/>
          <w:position w:val="-4"/>
          <w:sz w:val="24"/>
          <w:szCs w:val="24"/>
        </w:rPr>
        <w:t>ci</w:t>
      </w:r>
      <w:r w:rsidR="00FE0D0B" w:rsidRPr="00B70F62">
        <w:rPr>
          <w:rFonts w:asciiTheme="majorBidi" w:hAnsiTheme="majorBidi" w:cstheme="majorBidi"/>
          <w:spacing w:val="3"/>
          <w:position w:val="-4"/>
          <w:sz w:val="24"/>
          <w:szCs w:val="24"/>
        </w:rPr>
        <w:t>a</w:t>
      </w:r>
      <w:r w:rsidR="00FE0D0B" w:rsidRPr="00B70F62">
        <w:rPr>
          <w:rFonts w:asciiTheme="majorBidi" w:hAnsiTheme="majorBidi" w:cstheme="majorBidi"/>
          <w:position w:val="-4"/>
          <w:sz w:val="24"/>
          <w:szCs w:val="24"/>
        </w:rPr>
        <w:t>l</w:t>
      </w:r>
      <w:r w:rsidR="00FE0D0B" w:rsidRPr="00B70F62">
        <w:rPr>
          <w:rFonts w:asciiTheme="majorBidi" w:hAnsiTheme="majorBidi" w:cstheme="majorBidi"/>
          <w:spacing w:val="-18"/>
          <w:position w:val="-4"/>
          <w:sz w:val="24"/>
          <w:szCs w:val="24"/>
        </w:rPr>
        <w:t xml:space="preserve"> </w:t>
      </w:r>
      <w:r w:rsidR="00FE0D0B" w:rsidRPr="00B70F62">
        <w:rPr>
          <w:rFonts w:asciiTheme="majorBidi" w:hAnsiTheme="majorBidi" w:cstheme="majorBidi"/>
          <w:spacing w:val="-1"/>
          <w:position w:val="-4"/>
          <w:sz w:val="24"/>
          <w:szCs w:val="24"/>
        </w:rPr>
        <w:t>k</w:t>
      </w:r>
      <w:r w:rsidR="00FE0D0B" w:rsidRPr="00B70F62">
        <w:rPr>
          <w:rFonts w:asciiTheme="majorBidi" w:hAnsiTheme="majorBidi" w:cstheme="majorBidi"/>
          <w:position w:val="-4"/>
          <w:sz w:val="24"/>
          <w:szCs w:val="24"/>
        </w:rPr>
        <w:t>its</w:t>
      </w:r>
      <w:r w:rsidR="00FE0D0B" w:rsidRPr="00B70F62">
        <w:rPr>
          <w:rFonts w:asciiTheme="majorBidi" w:hAnsiTheme="majorBidi" w:cstheme="majorBidi"/>
          <w:spacing w:val="-13"/>
          <w:position w:val="-4"/>
          <w:sz w:val="24"/>
          <w:szCs w:val="24"/>
        </w:rPr>
        <w:t xml:space="preserve"> </w:t>
      </w:r>
      <w:r w:rsidR="00FE0D0B" w:rsidRPr="00B70F62">
        <w:rPr>
          <w:rFonts w:asciiTheme="majorBidi" w:hAnsiTheme="majorBidi" w:cstheme="majorBidi"/>
          <w:spacing w:val="1"/>
          <w:position w:val="-4"/>
          <w:sz w:val="24"/>
          <w:szCs w:val="24"/>
        </w:rPr>
        <w:t>(</w:t>
      </w:r>
      <w:r w:rsidR="00FE0D0B" w:rsidRPr="00B70F62">
        <w:rPr>
          <w:rFonts w:asciiTheme="majorBidi" w:hAnsiTheme="majorBidi" w:cstheme="majorBidi"/>
          <w:spacing w:val="-1"/>
          <w:position w:val="-4"/>
          <w:sz w:val="24"/>
          <w:szCs w:val="24"/>
        </w:rPr>
        <w:t>R</w:t>
      </w:r>
      <w:r w:rsidR="00FE0D0B" w:rsidRPr="00B70F62">
        <w:rPr>
          <w:rFonts w:asciiTheme="majorBidi" w:hAnsiTheme="majorBidi" w:cstheme="majorBidi"/>
          <w:spacing w:val="3"/>
          <w:position w:val="-4"/>
          <w:sz w:val="24"/>
          <w:szCs w:val="24"/>
        </w:rPr>
        <w:t>a</w:t>
      </w:r>
      <w:r w:rsidR="00FE0D0B" w:rsidRPr="00B70F62">
        <w:rPr>
          <w:rFonts w:asciiTheme="majorBidi" w:hAnsiTheme="majorBidi" w:cstheme="majorBidi"/>
          <w:spacing w:val="-1"/>
          <w:position w:val="-4"/>
          <w:sz w:val="24"/>
          <w:szCs w:val="24"/>
        </w:rPr>
        <w:t>y</w:t>
      </w:r>
      <w:r w:rsidR="00FE0D0B" w:rsidRPr="00B70F62">
        <w:rPr>
          <w:rFonts w:asciiTheme="majorBidi" w:hAnsiTheme="majorBidi" w:cstheme="majorBidi"/>
          <w:spacing w:val="1"/>
          <w:position w:val="-4"/>
          <w:sz w:val="24"/>
          <w:szCs w:val="24"/>
        </w:rPr>
        <w:t xml:space="preserve"> B</w:t>
      </w:r>
      <w:r w:rsidR="00FE0D0B" w:rsidRPr="00B70F62">
        <w:rPr>
          <w:rFonts w:asciiTheme="majorBidi" w:hAnsiTheme="majorBidi" w:cstheme="majorBidi"/>
          <w:position w:val="-4"/>
          <w:sz w:val="24"/>
          <w:szCs w:val="24"/>
        </w:rPr>
        <w:t>io</w:t>
      </w:r>
      <w:r w:rsidR="00FE0D0B" w:rsidRPr="00B70F62">
        <w:rPr>
          <w:rFonts w:asciiTheme="majorBidi" w:hAnsiTheme="majorBidi" w:cstheme="majorBidi"/>
          <w:spacing w:val="-15"/>
          <w:position w:val="-4"/>
          <w:sz w:val="24"/>
          <w:szCs w:val="24"/>
        </w:rPr>
        <w:t xml:space="preserve"> </w:t>
      </w:r>
      <w:r w:rsidR="00FE0D0B" w:rsidRPr="00B70F62">
        <w:rPr>
          <w:rFonts w:asciiTheme="majorBidi" w:hAnsiTheme="majorBidi" w:cstheme="majorBidi"/>
          <w:position w:val="-4"/>
          <w:sz w:val="24"/>
          <w:szCs w:val="24"/>
        </w:rPr>
        <w:t>Kit</w:t>
      </w:r>
      <w:r w:rsidR="00FE0D0B" w:rsidRPr="00B70F62">
        <w:rPr>
          <w:rFonts w:asciiTheme="majorBidi" w:eastAsia="Courier New" w:hAnsiTheme="majorBidi" w:cstheme="majorBidi"/>
          <w:position w:val="8"/>
          <w:sz w:val="24"/>
          <w:szCs w:val="24"/>
        </w:rPr>
        <w:t xml:space="preserve"> </w:t>
      </w:r>
      <w:r w:rsidR="00FE0D0B" w:rsidRPr="00B70F62">
        <w:rPr>
          <w:rFonts w:asciiTheme="majorBidi" w:hAnsiTheme="majorBidi" w:cstheme="majorBidi"/>
          <w:spacing w:val="1"/>
          <w:position w:val="-5"/>
          <w:sz w:val="24"/>
          <w:szCs w:val="24"/>
        </w:rPr>
        <w:t>I</w:t>
      </w:r>
      <w:r w:rsidR="00FE0D0B" w:rsidRPr="00B70F62">
        <w:rPr>
          <w:rFonts w:asciiTheme="majorBidi" w:hAnsiTheme="majorBidi" w:cstheme="majorBidi"/>
          <w:spacing w:val="-1"/>
          <w:position w:val="-5"/>
          <w:sz w:val="24"/>
          <w:szCs w:val="24"/>
        </w:rPr>
        <w:t>n</w:t>
      </w:r>
      <w:r w:rsidR="00FE0D0B" w:rsidRPr="00B70F62">
        <w:rPr>
          <w:rFonts w:asciiTheme="majorBidi" w:hAnsiTheme="majorBidi" w:cstheme="majorBidi"/>
          <w:position w:val="-5"/>
          <w:sz w:val="24"/>
          <w:szCs w:val="24"/>
        </w:rPr>
        <w:t>c</w:t>
      </w:r>
      <w:r w:rsidR="00FE0D0B" w:rsidRPr="00B70F62">
        <w:rPr>
          <w:rFonts w:asciiTheme="majorBidi" w:hAnsiTheme="majorBidi" w:cstheme="majorBidi"/>
          <w:spacing w:val="1"/>
          <w:position w:val="-5"/>
          <w:sz w:val="24"/>
          <w:szCs w:val="24"/>
        </w:rPr>
        <w:t>.</w:t>
      </w:r>
      <w:r w:rsidR="00FE0D0B" w:rsidRPr="00B70F62">
        <w:rPr>
          <w:rFonts w:asciiTheme="majorBidi" w:hAnsiTheme="majorBidi" w:cstheme="majorBidi"/>
          <w:position w:val="-5"/>
          <w:sz w:val="24"/>
          <w:szCs w:val="24"/>
        </w:rPr>
        <w:t>,</w:t>
      </w:r>
      <w:r w:rsidR="00FE0D0B" w:rsidRPr="00B70F62">
        <w:rPr>
          <w:rFonts w:asciiTheme="majorBidi" w:hAnsiTheme="majorBidi" w:cstheme="majorBidi"/>
          <w:spacing w:val="-3"/>
          <w:position w:val="-5"/>
          <w:sz w:val="24"/>
          <w:szCs w:val="24"/>
        </w:rPr>
        <w:t xml:space="preserve"> </w:t>
      </w:r>
      <w:r w:rsidR="00FE0D0B" w:rsidRPr="00B70F62">
        <w:rPr>
          <w:rFonts w:asciiTheme="majorBidi" w:hAnsiTheme="majorBidi" w:cstheme="majorBidi"/>
          <w:position w:val="-5"/>
          <w:sz w:val="24"/>
          <w:szCs w:val="24"/>
        </w:rPr>
        <w:t>Ge</w:t>
      </w:r>
      <w:r w:rsidR="00FE0D0B" w:rsidRPr="00B70F62">
        <w:rPr>
          <w:rFonts w:asciiTheme="majorBidi" w:hAnsiTheme="majorBidi" w:cstheme="majorBidi"/>
          <w:spacing w:val="2"/>
          <w:position w:val="-5"/>
          <w:sz w:val="24"/>
          <w:szCs w:val="24"/>
        </w:rPr>
        <w:t>o</w:t>
      </w:r>
      <w:r w:rsidR="00FE0D0B" w:rsidRPr="00B70F62">
        <w:rPr>
          <w:rFonts w:asciiTheme="majorBidi" w:hAnsiTheme="majorBidi" w:cstheme="majorBidi"/>
          <w:spacing w:val="1"/>
          <w:position w:val="-5"/>
          <w:sz w:val="24"/>
          <w:szCs w:val="24"/>
        </w:rPr>
        <w:t>r</w:t>
      </w:r>
      <w:r w:rsidR="00FE0D0B" w:rsidRPr="00B70F62">
        <w:rPr>
          <w:rFonts w:asciiTheme="majorBidi" w:hAnsiTheme="majorBidi" w:cstheme="majorBidi"/>
          <w:spacing w:val="-1"/>
          <w:position w:val="-5"/>
          <w:sz w:val="24"/>
          <w:szCs w:val="24"/>
        </w:rPr>
        <w:t>g</w:t>
      </w:r>
      <w:r w:rsidR="00FE0D0B" w:rsidRPr="00B70F62">
        <w:rPr>
          <w:rFonts w:asciiTheme="majorBidi" w:hAnsiTheme="majorBidi" w:cstheme="majorBidi"/>
          <w:position w:val="-5"/>
          <w:sz w:val="24"/>
          <w:szCs w:val="24"/>
        </w:rPr>
        <w:t>ia,</w:t>
      </w:r>
      <w:r w:rsidR="00FE0D0B" w:rsidRPr="00B70F62">
        <w:rPr>
          <w:rFonts w:asciiTheme="majorBidi" w:hAnsiTheme="majorBidi" w:cstheme="majorBidi"/>
          <w:spacing w:val="-6"/>
          <w:position w:val="-5"/>
          <w:sz w:val="24"/>
          <w:szCs w:val="24"/>
        </w:rPr>
        <w:t xml:space="preserve"> </w:t>
      </w:r>
      <w:r w:rsidR="00FE0D0B" w:rsidRPr="00B70F62">
        <w:rPr>
          <w:rFonts w:asciiTheme="majorBidi" w:hAnsiTheme="majorBidi" w:cstheme="majorBidi"/>
          <w:position w:val="-5"/>
          <w:sz w:val="24"/>
          <w:szCs w:val="24"/>
        </w:rPr>
        <w:t>U</w:t>
      </w:r>
      <w:r w:rsidR="00FE0D0B" w:rsidRPr="00B70F62">
        <w:rPr>
          <w:rFonts w:asciiTheme="majorBidi" w:hAnsiTheme="majorBidi" w:cstheme="majorBidi"/>
          <w:spacing w:val="2"/>
          <w:position w:val="-5"/>
          <w:sz w:val="24"/>
          <w:szCs w:val="24"/>
        </w:rPr>
        <w:t>S</w:t>
      </w:r>
      <w:r w:rsidR="00FE0D0B" w:rsidRPr="00B70F62">
        <w:rPr>
          <w:rFonts w:asciiTheme="majorBidi" w:hAnsiTheme="majorBidi" w:cstheme="majorBidi"/>
          <w:spacing w:val="-2"/>
          <w:position w:val="-5"/>
          <w:sz w:val="24"/>
          <w:szCs w:val="24"/>
        </w:rPr>
        <w:t>A</w:t>
      </w:r>
      <w:r w:rsidR="00FE0D0B" w:rsidRPr="00B70F62">
        <w:rPr>
          <w:rFonts w:asciiTheme="majorBidi" w:hAnsiTheme="majorBidi" w:cstheme="majorBidi"/>
          <w:position w:val="-5"/>
          <w:sz w:val="24"/>
          <w:szCs w:val="24"/>
        </w:rPr>
        <w:t>)</w:t>
      </w:r>
      <w:r w:rsidR="00FE0D0B">
        <w:rPr>
          <w:rFonts w:asciiTheme="majorBidi" w:hAnsiTheme="majorBidi" w:cstheme="majorBidi"/>
          <w:position w:val="-5"/>
          <w:sz w:val="24"/>
          <w:szCs w:val="24"/>
        </w:rPr>
        <w:t>.</w:t>
      </w:r>
    </w:p>
    <w:p w14:paraId="43DC61BC" w14:textId="301B5941" w:rsidR="00CC58A4" w:rsidRPr="00CC58A4" w:rsidRDefault="00CC58A4" w:rsidP="00CC58A4">
      <w:pPr>
        <w:spacing w:before="120" w:line="360" w:lineRule="auto"/>
        <w:ind w:left="-288"/>
        <w:jc w:val="both"/>
        <w:rPr>
          <w:rFonts w:asciiTheme="majorBidi" w:hAnsiTheme="majorBidi" w:cstheme="majorBidi"/>
          <w:b/>
          <w:bCs/>
          <w:i/>
          <w:iCs/>
          <w:sz w:val="24"/>
          <w:szCs w:val="24"/>
        </w:rPr>
      </w:pPr>
      <w:r w:rsidRPr="00CC58A4">
        <w:rPr>
          <w:rFonts w:asciiTheme="majorBidi" w:hAnsiTheme="majorBidi" w:cstheme="majorBidi"/>
          <w:b/>
          <w:bCs/>
          <w:sz w:val="24"/>
          <w:szCs w:val="24"/>
          <w:u w:val="single"/>
        </w:rPr>
        <w:t>Assay Principle:</w:t>
      </w:r>
      <w:r w:rsidR="005E0C63" w:rsidRPr="00CC58A4">
        <w:rPr>
          <w:rFonts w:asciiTheme="majorBidi" w:hAnsiTheme="majorBidi" w:cstheme="majorBidi"/>
          <w:spacing w:val="-2"/>
          <w:position w:val="-2"/>
        </w:rPr>
        <w:t xml:space="preserve">  </w:t>
      </w:r>
    </w:p>
    <w:p w14:paraId="50B829CA" w14:textId="1DE6CAF5" w:rsidR="005E0C63" w:rsidRPr="00FE0D0B" w:rsidRDefault="005E0C63" w:rsidP="00FE0D0B">
      <w:pPr>
        <w:autoSpaceDE w:val="0"/>
        <w:autoSpaceDN w:val="0"/>
        <w:adjustRightInd w:val="0"/>
        <w:spacing w:line="480" w:lineRule="auto"/>
        <w:jc w:val="both"/>
        <w:rPr>
          <w:rFonts w:asciiTheme="majorBidi" w:hAnsiTheme="majorBidi" w:cstheme="majorBidi"/>
          <w:spacing w:val="-2"/>
          <w:position w:val="-2"/>
          <w:sz w:val="24"/>
          <w:szCs w:val="24"/>
        </w:rPr>
      </w:pPr>
      <w:r w:rsidRPr="00FE0D0B">
        <w:rPr>
          <w:rFonts w:asciiTheme="majorBidi" w:hAnsiTheme="majorBidi" w:cstheme="majorBidi"/>
          <w:spacing w:val="-2"/>
          <w:position w:val="-2"/>
          <w:sz w:val="24"/>
          <w:szCs w:val="24"/>
        </w:rPr>
        <w:t xml:space="preserve">This assay employs an antibody specific for human Ficolin-3 coated on a 96-well plate. Standards and samples were pipetted into the wells and Ficolin-3 present in a sample is bound to the wells by the immobilized antibody. The wells were washed, and biotinylated anti-human Ficolin-3 antibody was added. After washing away unbound biotinylated antibody, </w:t>
      </w:r>
      <w:r w:rsidR="003D425B" w:rsidRPr="003D425B">
        <w:rPr>
          <w:rFonts w:asciiTheme="majorBidi" w:hAnsiTheme="majorBidi" w:cstheme="majorBidi"/>
          <w:spacing w:val="-2"/>
          <w:position w:val="-2"/>
          <w:sz w:val="24"/>
          <w:szCs w:val="24"/>
        </w:rPr>
        <w:t>horseradish peroxidase</w:t>
      </w:r>
      <w:r w:rsidR="003D425B">
        <w:rPr>
          <w:rFonts w:asciiTheme="majorBidi" w:hAnsiTheme="majorBidi" w:cstheme="majorBidi"/>
          <w:spacing w:val="-2"/>
          <w:position w:val="-2"/>
          <w:sz w:val="24"/>
          <w:szCs w:val="24"/>
        </w:rPr>
        <w:t xml:space="preserve"> (</w:t>
      </w:r>
      <w:r w:rsidRPr="00FE0D0B">
        <w:rPr>
          <w:rFonts w:asciiTheme="majorBidi" w:hAnsiTheme="majorBidi" w:cstheme="majorBidi"/>
          <w:spacing w:val="-2"/>
          <w:position w:val="-2"/>
          <w:sz w:val="24"/>
          <w:szCs w:val="24"/>
        </w:rPr>
        <w:t>HRP</w:t>
      </w:r>
      <w:r w:rsidR="003D425B">
        <w:rPr>
          <w:rFonts w:asciiTheme="majorBidi" w:hAnsiTheme="majorBidi" w:cstheme="majorBidi"/>
          <w:spacing w:val="-2"/>
          <w:position w:val="-2"/>
          <w:sz w:val="24"/>
          <w:szCs w:val="24"/>
        </w:rPr>
        <w:t>)</w:t>
      </w:r>
      <w:r w:rsidRPr="00FE0D0B">
        <w:rPr>
          <w:rFonts w:asciiTheme="majorBidi" w:hAnsiTheme="majorBidi" w:cstheme="majorBidi"/>
          <w:spacing w:val="-2"/>
          <w:position w:val="-2"/>
          <w:sz w:val="24"/>
          <w:szCs w:val="24"/>
        </w:rPr>
        <w:t xml:space="preserve">-conjugated streptavidin was pipetted to the wells. The wells were again washed, a </w:t>
      </w:r>
      <w:r w:rsidR="003D425B">
        <w:rPr>
          <w:rFonts w:asciiTheme="majorBidi" w:hAnsiTheme="majorBidi" w:cstheme="majorBidi"/>
          <w:spacing w:val="-2"/>
          <w:position w:val="-2"/>
          <w:sz w:val="24"/>
          <w:szCs w:val="24"/>
        </w:rPr>
        <w:t>t</w:t>
      </w:r>
      <w:r w:rsidR="003D425B" w:rsidRPr="003D425B">
        <w:rPr>
          <w:rFonts w:asciiTheme="majorBidi" w:hAnsiTheme="majorBidi" w:cstheme="majorBidi"/>
          <w:spacing w:val="-2"/>
          <w:position w:val="-2"/>
          <w:sz w:val="24"/>
          <w:szCs w:val="24"/>
        </w:rPr>
        <w:t>etramethylbenzidine</w:t>
      </w:r>
      <w:r w:rsidR="003D425B">
        <w:rPr>
          <w:rFonts w:asciiTheme="majorBidi" w:hAnsiTheme="majorBidi" w:cstheme="majorBidi"/>
          <w:spacing w:val="-2"/>
          <w:position w:val="-2"/>
          <w:sz w:val="24"/>
          <w:szCs w:val="24"/>
        </w:rPr>
        <w:t xml:space="preserve"> (</w:t>
      </w:r>
      <w:r w:rsidRPr="00FE0D0B">
        <w:rPr>
          <w:rFonts w:asciiTheme="majorBidi" w:hAnsiTheme="majorBidi" w:cstheme="majorBidi"/>
          <w:spacing w:val="-2"/>
          <w:position w:val="-2"/>
          <w:sz w:val="24"/>
          <w:szCs w:val="24"/>
        </w:rPr>
        <w:t>TMB</w:t>
      </w:r>
      <w:r w:rsidR="003D425B">
        <w:rPr>
          <w:rFonts w:asciiTheme="majorBidi" w:hAnsiTheme="majorBidi" w:cstheme="majorBidi"/>
          <w:spacing w:val="-2"/>
          <w:position w:val="-2"/>
          <w:sz w:val="24"/>
          <w:szCs w:val="24"/>
        </w:rPr>
        <w:t>)</w:t>
      </w:r>
      <w:r w:rsidRPr="00FE0D0B">
        <w:rPr>
          <w:rFonts w:asciiTheme="majorBidi" w:hAnsiTheme="majorBidi" w:cstheme="majorBidi"/>
          <w:spacing w:val="-2"/>
          <w:position w:val="-2"/>
          <w:sz w:val="24"/>
          <w:szCs w:val="24"/>
        </w:rPr>
        <w:t xml:space="preserve"> substrate solution was added to the wells and color developed in proportion to the amount of Ficolin-3 bound. The Stop Solution changed the color from blue to yellow, and the intensity of the color was measured at 450 nm.</w:t>
      </w:r>
    </w:p>
    <w:p w14:paraId="091260AC" w14:textId="0A98DE2C" w:rsidR="00CC58A4" w:rsidRPr="00CC58A4" w:rsidRDefault="00CC58A4" w:rsidP="00CC58A4">
      <w:pPr>
        <w:spacing w:before="120" w:line="360" w:lineRule="auto"/>
        <w:ind w:left="-288"/>
        <w:jc w:val="both"/>
        <w:rPr>
          <w:rFonts w:asciiTheme="majorBidi" w:hAnsiTheme="majorBidi" w:cstheme="majorBidi"/>
          <w:sz w:val="24"/>
          <w:szCs w:val="24"/>
        </w:rPr>
      </w:pPr>
      <w:r w:rsidRPr="00CC58A4">
        <w:rPr>
          <w:rFonts w:asciiTheme="majorBidi" w:hAnsiTheme="majorBidi" w:cstheme="majorBidi"/>
          <w:b/>
          <w:bCs/>
          <w:sz w:val="24"/>
          <w:szCs w:val="24"/>
          <w:u w:val="single"/>
        </w:rPr>
        <w:t>Assay procedure:</w:t>
      </w:r>
    </w:p>
    <w:p w14:paraId="7F6C8D14" w14:textId="25DD3E80" w:rsidR="00045106" w:rsidRPr="00FE0D0B" w:rsidRDefault="00871EEE" w:rsidP="00FE0D0B">
      <w:pPr>
        <w:autoSpaceDE w:val="0"/>
        <w:autoSpaceDN w:val="0"/>
        <w:adjustRightInd w:val="0"/>
        <w:spacing w:line="480" w:lineRule="auto"/>
        <w:jc w:val="both"/>
        <w:rPr>
          <w:rFonts w:asciiTheme="majorBidi" w:hAnsiTheme="majorBidi" w:cstheme="majorBidi"/>
          <w:spacing w:val="-2"/>
          <w:position w:val="-2"/>
          <w:sz w:val="24"/>
          <w:szCs w:val="24"/>
        </w:rPr>
      </w:pPr>
      <w:r w:rsidRPr="00FE0D0B">
        <w:rPr>
          <w:rFonts w:asciiTheme="majorBidi" w:hAnsiTheme="majorBidi" w:cstheme="majorBidi"/>
          <w:spacing w:val="-2"/>
          <w:position w:val="-2"/>
          <w:sz w:val="24"/>
          <w:szCs w:val="24"/>
        </w:rPr>
        <w:t>100 µl standard or sample were added to each well and incubated for 2.5 hours at room temperature then</w:t>
      </w:r>
      <w:r w:rsidR="0090635A" w:rsidRPr="00FE0D0B">
        <w:rPr>
          <w:rFonts w:asciiTheme="majorBidi" w:hAnsiTheme="majorBidi" w:cstheme="majorBidi"/>
          <w:spacing w:val="-2"/>
          <w:position w:val="-2"/>
          <w:sz w:val="24"/>
          <w:szCs w:val="24"/>
        </w:rPr>
        <w:t xml:space="preserve"> after washing,</w:t>
      </w:r>
      <w:r w:rsidRPr="00FE0D0B">
        <w:rPr>
          <w:rFonts w:asciiTheme="majorBidi" w:hAnsiTheme="majorBidi" w:cstheme="majorBidi"/>
          <w:spacing w:val="-2"/>
          <w:position w:val="-2"/>
          <w:sz w:val="24"/>
          <w:szCs w:val="24"/>
        </w:rPr>
        <w:t xml:space="preserve"> 100 µl prepared biotin antibody were added to each well and incubated for 1 hour at room temperature.</w:t>
      </w:r>
      <w:r w:rsidR="0090635A" w:rsidRPr="00FE0D0B">
        <w:rPr>
          <w:rFonts w:asciiTheme="majorBidi" w:hAnsiTheme="majorBidi" w:cstheme="majorBidi"/>
          <w:spacing w:val="-2"/>
          <w:position w:val="-2"/>
          <w:sz w:val="24"/>
          <w:szCs w:val="24"/>
        </w:rPr>
        <w:t xml:space="preserve"> Washing was repeated and</w:t>
      </w:r>
      <w:r w:rsidRPr="00FE0D0B">
        <w:rPr>
          <w:rFonts w:asciiTheme="majorBidi" w:hAnsiTheme="majorBidi" w:cstheme="majorBidi"/>
          <w:spacing w:val="-2"/>
          <w:position w:val="-2"/>
          <w:sz w:val="24"/>
          <w:szCs w:val="24"/>
        </w:rPr>
        <w:t xml:space="preserve"> 100 µl prepared Streptavidin solution were added and incubated for 45 minutes at room temperature then</w:t>
      </w:r>
      <w:r w:rsidR="0090635A" w:rsidRPr="00FE0D0B">
        <w:rPr>
          <w:rFonts w:asciiTheme="majorBidi" w:hAnsiTheme="majorBidi" w:cstheme="majorBidi"/>
          <w:spacing w:val="-2"/>
          <w:position w:val="-2"/>
          <w:sz w:val="24"/>
          <w:szCs w:val="24"/>
        </w:rPr>
        <w:t xml:space="preserve"> after washing,</w:t>
      </w:r>
      <w:r w:rsidRPr="00FE0D0B">
        <w:rPr>
          <w:rFonts w:asciiTheme="majorBidi" w:hAnsiTheme="majorBidi" w:cstheme="majorBidi"/>
          <w:spacing w:val="-2"/>
          <w:position w:val="-2"/>
          <w:sz w:val="24"/>
          <w:szCs w:val="24"/>
        </w:rPr>
        <w:t xml:space="preserve"> 100 µl TMB One-Step </w:t>
      </w:r>
      <w:r w:rsidRPr="00FE0D0B">
        <w:rPr>
          <w:rFonts w:asciiTheme="majorBidi" w:hAnsiTheme="majorBidi" w:cstheme="majorBidi"/>
          <w:spacing w:val="-2"/>
          <w:position w:val="-2"/>
          <w:sz w:val="24"/>
          <w:szCs w:val="24"/>
        </w:rPr>
        <w:lastRenderedPageBreak/>
        <w:t>Substrate Reagent were added to each well and incubated for 30 minutes at</w:t>
      </w:r>
      <w:r w:rsidR="0090635A" w:rsidRPr="00FE0D0B">
        <w:rPr>
          <w:rFonts w:asciiTheme="majorBidi" w:hAnsiTheme="majorBidi" w:cstheme="majorBidi"/>
          <w:spacing w:val="-2"/>
          <w:position w:val="-2"/>
          <w:sz w:val="24"/>
          <w:szCs w:val="24"/>
        </w:rPr>
        <w:t xml:space="preserve"> </w:t>
      </w:r>
      <w:r w:rsidRPr="00FE0D0B">
        <w:rPr>
          <w:rFonts w:asciiTheme="majorBidi" w:hAnsiTheme="majorBidi" w:cstheme="majorBidi"/>
          <w:spacing w:val="-2"/>
          <w:position w:val="-2"/>
          <w:sz w:val="24"/>
          <w:szCs w:val="24"/>
        </w:rPr>
        <w:t xml:space="preserve">room temperature. </w:t>
      </w:r>
      <w:r w:rsidR="0090635A" w:rsidRPr="00FE0D0B">
        <w:rPr>
          <w:rFonts w:asciiTheme="majorBidi" w:hAnsiTheme="majorBidi" w:cstheme="majorBidi"/>
          <w:spacing w:val="-2"/>
          <w:position w:val="-2"/>
          <w:sz w:val="24"/>
          <w:szCs w:val="24"/>
        </w:rPr>
        <w:t xml:space="preserve">Finally, </w:t>
      </w:r>
      <w:r w:rsidRPr="00FE0D0B">
        <w:rPr>
          <w:rFonts w:asciiTheme="majorBidi" w:hAnsiTheme="majorBidi" w:cstheme="majorBidi"/>
          <w:spacing w:val="-2"/>
          <w:position w:val="-2"/>
          <w:sz w:val="24"/>
          <w:szCs w:val="24"/>
        </w:rPr>
        <w:t>50 µl Stop Solution</w:t>
      </w:r>
      <w:r w:rsidR="0090635A" w:rsidRPr="00FE0D0B">
        <w:rPr>
          <w:rFonts w:asciiTheme="majorBidi" w:hAnsiTheme="majorBidi" w:cstheme="majorBidi"/>
          <w:spacing w:val="-2"/>
          <w:position w:val="-2"/>
          <w:sz w:val="24"/>
          <w:szCs w:val="24"/>
        </w:rPr>
        <w:t xml:space="preserve"> were added</w:t>
      </w:r>
      <w:r w:rsidRPr="00FE0D0B">
        <w:rPr>
          <w:rFonts w:asciiTheme="majorBidi" w:hAnsiTheme="majorBidi" w:cstheme="majorBidi"/>
          <w:spacing w:val="-2"/>
          <w:position w:val="-2"/>
          <w:sz w:val="24"/>
          <w:szCs w:val="24"/>
        </w:rPr>
        <w:t xml:space="preserve"> to each well</w:t>
      </w:r>
      <w:r w:rsidR="0090635A" w:rsidRPr="00FE0D0B">
        <w:rPr>
          <w:rFonts w:asciiTheme="majorBidi" w:hAnsiTheme="majorBidi" w:cstheme="majorBidi"/>
          <w:spacing w:val="-2"/>
          <w:position w:val="-2"/>
          <w:sz w:val="24"/>
          <w:szCs w:val="24"/>
        </w:rPr>
        <w:t xml:space="preserve"> and color were r</w:t>
      </w:r>
      <w:r w:rsidRPr="00FE0D0B">
        <w:rPr>
          <w:rFonts w:asciiTheme="majorBidi" w:hAnsiTheme="majorBidi" w:cstheme="majorBidi"/>
          <w:spacing w:val="-2"/>
          <w:position w:val="-2"/>
          <w:sz w:val="24"/>
          <w:szCs w:val="24"/>
        </w:rPr>
        <w:t>ead at 450 nm immediately.</w:t>
      </w:r>
    </w:p>
    <w:p w14:paraId="44280A84" w14:textId="026D35ED" w:rsidR="005E0C63" w:rsidRPr="00FE0D0B" w:rsidRDefault="005E0C63" w:rsidP="00FE0D0B">
      <w:pPr>
        <w:autoSpaceDE w:val="0"/>
        <w:autoSpaceDN w:val="0"/>
        <w:adjustRightInd w:val="0"/>
        <w:spacing w:line="240" w:lineRule="auto"/>
        <w:jc w:val="both"/>
        <w:rPr>
          <w:rFonts w:asciiTheme="majorBidi" w:hAnsiTheme="majorBidi" w:cstheme="majorBidi"/>
          <w:b/>
          <w:bCs/>
          <w:spacing w:val="-2"/>
          <w:position w:val="-2"/>
          <w:sz w:val="24"/>
          <w:szCs w:val="24"/>
        </w:rPr>
      </w:pPr>
      <w:r w:rsidRPr="00FE0D0B">
        <w:rPr>
          <w:rFonts w:asciiTheme="majorBidi" w:hAnsiTheme="majorBidi" w:cstheme="majorBidi"/>
          <w:b/>
          <w:bCs/>
          <w:spacing w:val="-2"/>
          <w:position w:val="-2"/>
          <w:sz w:val="24"/>
          <w:szCs w:val="24"/>
        </w:rPr>
        <w:t>Sensitivity of the kit:</w:t>
      </w:r>
    </w:p>
    <w:p w14:paraId="4F284584" w14:textId="77777777" w:rsidR="005E0C63" w:rsidRPr="00FE0D0B" w:rsidRDefault="005E0C63" w:rsidP="00FE0D0B">
      <w:pPr>
        <w:autoSpaceDE w:val="0"/>
        <w:autoSpaceDN w:val="0"/>
        <w:adjustRightInd w:val="0"/>
        <w:spacing w:line="240" w:lineRule="auto"/>
        <w:jc w:val="both"/>
        <w:rPr>
          <w:rFonts w:asciiTheme="majorBidi" w:hAnsiTheme="majorBidi" w:cstheme="majorBidi"/>
          <w:spacing w:val="-2"/>
          <w:position w:val="-2"/>
          <w:sz w:val="24"/>
          <w:szCs w:val="24"/>
        </w:rPr>
      </w:pPr>
      <w:r w:rsidRPr="00FE0D0B">
        <w:rPr>
          <w:rFonts w:asciiTheme="majorBidi" w:hAnsiTheme="majorBidi" w:cstheme="majorBidi"/>
          <w:spacing w:val="-2"/>
          <w:position w:val="-2"/>
          <w:sz w:val="24"/>
          <w:szCs w:val="24"/>
        </w:rPr>
        <w:t>The minimum detectable dose of Human Ficolin-3 was determined to be 0.25 ng/mL.</w:t>
      </w:r>
    </w:p>
    <w:p w14:paraId="56FFB171" w14:textId="77777777" w:rsidR="005E0C63" w:rsidRPr="00FE0D0B" w:rsidRDefault="005E0C63" w:rsidP="00FE0D0B">
      <w:pPr>
        <w:autoSpaceDE w:val="0"/>
        <w:autoSpaceDN w:val="0"/>
        <w:adjustRightInd w:val="0"/>
        <w:spacing w:line="240" w:lineRule="auto"/>
        <w:jc w:val="both"/>
        <w:rPr>
          <w:rFonts w:asciiTheme="majorBidi" w:hAnsiTheme="majorBidi" w:cstheme="majorBidi"/>
          <w:spacing w:val="-2"/>
          <w:position w:val="-2"/>
          <w:sz w:val="24"/>
          <w:szCs w:val="24"/>
        </w:rPr>
      </w:pPr>
      <w:r w:rsidRPr="00FE0D0B">
        <w:rPr>
          <w:rFonts w:asciiTheme="majorBidi" w:hAnsiTheme="majorBidi" w:cstheme="majorBidi"/>
          <w:spacing w:val="-2"/>
          <w:position w:val="-2"/>
          <w:sz w:val="24"/>
          <w:szCs w:val="24"/>
        </w:rPr>
        <w:t>Intra-Assay CV%: &lt;10%</w:t>
      </w:r>
    </w:p>
    <w:p w14:paraId="2A4729BF" w14:textId="77777777" w:rsidR="005E0C63" w:rsidRPr="00FE0D0B" w:rsidRDefault="005E0C63" w:rsidP="00FE0D0B">
      <w:pPr>
        <w:autoSpaceDE w:val="0"/>
        <w:autoSpaceDN w:val="0"/>
        <w:adjustRightInd w:val="0"/>
        <w:spacing w:line="240" w:lineRule="auto"/>
        <w:jc w:val="both"/>
        <w:rPr>
          <w:rFonts w:asciiTheme="majorBidi" w:hAnsiTheme="majorBidi" w:cstheme="majorBidi"/>
          <w:spacing w:val="-2"/>
          <w:position w:val="-2"/>
          <w:sz w:val="24"/>
          <w:szCs w:val="24"/>
        </w:rPr>
      </w:pPr>
      <w:r w:rsidRPr="00FE0D0B">
        <w:rPr>
          <w:rFonts w:asciiTheme="majorBidi" w:hAnsiTheme="majorBidi" w:cstheme="majorBidi"/>
          <w:spacing w:val="-2"/>
          <w:position w:val="-2"/>
          <w:sz w:val="24"/>
          <w:szCs w:val="24"/>
        </w:rPr>
        <w:t>Inter-Assay CV%: &lt;12%</w:t>
      </w:r>
    </w:p>
    <w:p w14:paraId="07195B3B" w14:textId="77777777" w:rsidR="005E0C63" w:rsidRPr="00FE0D0B" w:rsidRDefault="005E0C63" w:rsidP="00FE0D0B">
      <w:pPr>
        <w:autoSpaceDE w:val="0"/>
        <w:autoSpaceDN w:val="0"/>
        <w:adjustRightInd w:val="0"/>
        <w:spacing w:before="240" w:line="240" w:lineRule="auto"/>
        <w:jc w:val="both"/>
        <w:rPr>
          <w:rFonts w:asciiTheme="majorBidi" w:hAnsiTheme="majorBidi" w:cstheme="majorBidi"/>
          <w:b/>
          <w:bCs/>
          <w:spacing w:val="-2"/>
          <w:position w:val="-2"/>
          <w:sz w:val="24"/>
          <w:szCs w:val="24"/>
        </w:rPr>
      </w:pPr>
      <w:r w:rsidRPr="00FE0D0B">
        <w:rPr>
          <w:rFonts w:asciiTheme="majorBidi" w:hAnsiTheme="majorBidi" w:cstheme="majorBidi"/>
          <w:b/>
          <w:bCs/>
          <w:spacing w:val="-2"/>
          <w:position w:val="-2"/>
          <w:sz w:val="24"/>
          <w:szCs w:val="24"/>
        </w:rPr>
        <w:t>Specificity of the kit:</w:t>
      </w:r>
    </w:p>
    <w:p w14:paraId="72CDADEA" w14:textId="77777777" w:rsidR="005E0C63" w:rsidRPr="00FE0D0B" w:rsidRDefault="005E0C63" w:rsidP="00FE0D0B">
      <w:pPr>
        <w:autoSpaceDE w:val="0"/>
        <w:autoSpaceDN w:val="0"/>
        <w:adjustRightInd w:val="0"/>
        <w:spacing w:line="240" w:lineRule="auto"/>
        <w:jc w:val="both"/>
        <w:rPr>
          <w:rFonts w:asciiTheme="majorBidi" w:hAnsiTheme="majorBidi" w:cstheme="majorBidi"/>
          <w:spacing w:val="-2"/>
          <w:position w:val="-2"/>
          <w:sz w:val="24"/>
          <w:szCs w:val="24"/>
        </w:rPr>
      </w:pPr>
      <w:r w:rsidRPr="00FE0D0B">
        <w:rPr>
          <w:rFonts w:asciiTheme="majorBidi" w:hAnsiTheme="majorBidi" w:cstheme="majorBidi"/>
          <w:spacing w:val="-2"/>
          <w:position w:val="-2"/>
          <w:sz w:val="24"/>
          <w:szCs w:val="24"/>
        </w:rPr>
        <w:t>This ELISA antibody pair detects Human Ficolin-3 only. Other species not determined.</w:t>
      </w:r>
    </w:p>
    <w:p w14:paraId="5795CEC9" w14:textId="6B7EAB32" w:rsidR="005E0C63" w:rsidRDefault="005E0C63" w:rsidP="00FE0D0B">
      <w:pPr>
        <w:autoSpaceDE w:val="0"/>
        <w:autoSpaceDN w:val="0"/>
        <w:adjustRightInd w:val="0"/>
        <w:spacing w:line="240" w:lineRule="auto"/>
        <w:jc w:val="both"/>
        <w:rPr>
          <w:rFonts w:asciiTheme="majorBidi" w:hAnsiTheme="majorBidi" w:cstheme="majorBidi"/>
          <w:spacing w:val="-2"/>
          <w:position w:val="-2"/>
          <w:sz w:val="24"/>
          <w:szCs w:val="24"/>
        </w:rPr>
      </w:pPr>
      <w:r w:rsidRPr="00FE0D0B">
        <w:rPr>
          <w:rFonts w:asciiTheme="majorBidi" w:hAnsiTheme="majorBidi" w:cstheme="majorBidi"/>
          <w:b/>
          <w:bCs/>
          <w:spacing w:val="-2"/>
          <w:position w:val="-2"/>
          <w:sz w:val="24"/>
          <w:szCs w:val="24"/>
        </w:rPr>
        <w:t>Unit of measure:</w:t>
      </w:r>
      <w:r w:rsidRPr="00FE0D0B">
        <w:rPr>
          <w:rFonts w:asciiTheme="majorBidi" w:hAnsiTheme="majorBidi" w:cstheme="majorBidi"/>
          <w:spacing w:val="-2"/>
          <w:position w:val="-2"/>
          <w:sz w:val="24"/>
          <w:szCs w:val="24"/>
        </w:rPr>
        <w:t xml:space="preserve"> ng/mL</w:t>
      </w:r>
      <w:r w:rsidR="00FE0D0B">
        <w:rPr>
          <w:rFonts w:asciiTheme="majorBidi" w:hAnsiTheme="majorBidi" w:cstheme="majorBidi"/>
          <w:spacing w:val="-2"/>
          <w:position w:val="-2"/>
          <w:sz w:val="24"/>
          <w:szCs w:val="24"/>
        </w:rPr>
        <w:t>.</w:t>
      </w:r>
    </w:p>
    <w:p w14:paraId="757A86BC" w14:textId="788FD7F3" w:rsidR="00FE0D0B" w:rsidRDefault="00FE0D0B" w:rsidP="00FE0D0B">
      <w:pPr>
        <w:autoSpaceDE w:val="0"/>
        <w:autoSpaceDN w:val="0"/>
        <w:adjustRightInd w:val="0"/>
        <w:spacing w:line="240" w:lineRule="auto"/>
        <w:jc w:val="both"/>
        <w:rPr>
          <w:rFonts w:asciiTheme="majorBidi" w:hAnsiTheme="majorBidi" w:cstheme="majorBidi"/>
          <w:spacing w:val="-2"/>
          <w:position w:val="-2"/>
          <w:sz w:val="24"/>
          <w:szCs w:val="24"/>
        </w:rPr>
      </w:pPr>
    </w:p>
    <w:p w14:paraId="0BC3E7B7" w14:textId="6EB7D274" w:rsidR="00FE0D0B" w:rsidRPr="00CC58A4" w:rsidRDefault="00FE0D0B" w:rsidP="00CC58A4">
      <w:pPr>
        <w:autoSpaceDE w:val="0"/>
        <w:autoSpaceDN w:val="0"/>
        <w:adjustRightInd w:val="0"/>
        <w:spacing w:before="120" w:after="240" w:line="240" w:lineRule="auto"/>
        <w:jc w:val="both"/>
        <w:rPr>
          <w:rFonts w:asciiTheme="majorBidi" w:hAnsiTheme="majorBidi" w:cstheme="majorBidi"/>
          <w:b/>
          <w:bCs/>
          <w:spacing w:val="-2"/>
          <w:position w:val="-2"/>
          <w:sz w:val="28"/>
          <w:szCs w:val="28"/>
          <w:u w:val="single"/>
        </w:rPr>
      </w:pPr>
      <w:r w:rsidRPr="00CC58A4">
        <w:rPr>
          <w:rFonts w:asciiTheme="majorBidi" w:hAnsiTheme="majorBidi" w:cstheme="majorBidi"/>
          <w:b/>
          <w:bCs/>
          <w:spacing w:val="-2"/>
          <w:position w:val="-2"/>
          <w:sz w:val="28"/>
          <w:szCs w:val="28"/>
          <w:u w:val="single"/>
        </w:rPr>
        <w:t>Molecular techniques:</w:t>
      </w:r>
    </w:p>
    <w:p w14:paraId="1950A68B" w14:textId="77777777" w:rsidR="00CC58A4" w:rsidRPr="00CC58A4" w:rsidRDefault="00CC58A4" w:rsidP="00CC58A4">
      <w:pPr>
        <w:spacing w:before="120" w:after="0" w:line="480" w:lineRule="auto"/>
        <w:ind w:left="-288"/>
        <w:jc w:val="both"/>
        <w:rPr>
          <w:rFonts w:asciiTheme="majorBidi" w:hAnsiTheme="majorBidi" w:cstheme="majorBidi"/>
          <w:b/>
          <w:bCs/>
          <w:i/>
          <w:iCs/>
          <w:sz w:val="24"/>
          <w:szCs w:val="24"/>
        </w:rPr>
      </w:pPr>
      <w:r w:rsidRPr="00CC58A4">
        <w:rPr>
          <w:rFonts w:asciiTheme="majorBidi" w:hAnsiTheme="majorBidi" w:cstheme="majorBidi"/>
          <w:b/>
          <w:bCs/>
          <w:sz w:val="24"/>
          <w:szCs w:val="24"/>
          <w:u w:val="single"/>
        </w:rPr>
        <w:t>1- Genomic DNA extraction:</w:t>
      </w:r>
    </w:p>
    <w:p w14:paraId="4611E3E9" w14:textId="77777777" w:rsidR="00CC58A4" w:rsidRPr="00CC58A4" w:rsidRDefault="00CC58A4" w:rsidP="00CC58A4">
      <w:pPr>
        <w:spacing w:before="120" w:line="480" w:lineRule="auto"/>
        <w:ind w:left="-288"/>
        <w:jc w:val="both"/>
        <w:rPr>
          <w:rFonts w:asciiTheme="majorBidi" w:hAnsiTheme="majorBidi" w:cstheme="majorBidi"/>
          <w:sz w:val="24"/>
          <w:szCs w:val="24"/>
        </w:rPr>
      </w:pPr>
      <w:r w:rsidRPr="00CC58A4">
        <w:rPr>
          <w:rFonts w:asciiTheme="majorBidi" w:hAnsiTheme="majorBidi" w:cstheme="majorBidi"/>
          <w:sz w:val="24"/>
          <w:szCs w:val="24"/>
        </w:rPr>
        <w:t xml:space="preserve">Genomic DNA (gDNA) was extracted from the whole blood of participants with DNA Blood extraction kits </w:t>
      </w:r>
      <w:r w:rsidRPr="00CC58A4">
        <w:rPr>
          <w:rFonts w:asciiTheme="majorBidi" w:hAnsiTheme="majorBidi" w:cstheme="majorBidi"/>
          <w:b/>
          <w:bCs/>
          <w:i/>
          <w:iCs/>
          <w:sz w:val="24"/>
          <w:szCs w:val="24"/>
        </w:rPr>
        <w:t>(</w:t>
      </w:r>
      <w:r w:rsidRPr="00CC58A4">
        <w:rPr>
          <w:rFonts w:asciiTheme="majorBidi" w:hAnsiTheme="majorBidi" w:cstheme="majorBidi"/>
          <w:i/>
          <w:iCs/>
          <w:sz w:val="24"/>
          <w:szCs w:val="24"/>
        </w:rPr>
        <w:t>GeneJET</w:t>
      </w:r>
      <w:r w:rsidRPr="00CC58A4">
        <w:rPr>
          <w:rFonts w:asciiTheme="majorBidi" w:hAnsiTheme="majorBidi" w:cstheme="majorBidi"/>
          <w:i/>
          <w:iCs/>
          <w:sz w:val="24"/>
          <w:szCs w:val="24"/>
          <w:vertAlign w:val="superscript"/>
        </w:rPr>
        <w:t>TM</w:t>
      </w:r>
      <w:r w:rsidRPr="00CC58A4">
        <w:rPr>
          <w:rFonts w:asciiTheme="majorBidi" w:hAnsiTheme="majorBidi" w:cstheme="majorBidi"/>
          <w:i/>
          <w:iCs/>
          <w:sz w:val="24"/>
          <w:szCs w:val="24"/>
        </w:rPr>
        <w:t xml:space="preserve"> </w:t>
      </w:r>
      <w:r w:rsidRPr="00CC58A4">
        <w:rPr>
          <w:rFonts w:asciiTheme="majorBidi" w:hAnsiTheme="majorBidi" w:cstheme="majorBidi"/>
          <w:sz w:val="24"/>
          <w:szCs w:val="24"/>
        </w:rPr>
        <w:t>Whole Blood Genomic DNA</w:t>
      </w:r>
      <w:r w:rsidRPr="00CC58A4">
        <w:rPr>
          <w:rFonts w:asciiTheme="majorBidi" w:hAnsiTheme="majorBidi" w:cstheme="majorBidi"/>
          <w:i/>
          <w:iCs/>
          <w:sz w:val="24"/>
          <w:szCs w:val="24"/>
        </w:rPr>
        <w:t xml:space="preserve"> </w:t>
      </w:r>
      <w:r w:rsidRPr="00CC58A4">
        <w:rPr>
          <w:rFonts w:asciiTheme="majorBidi" w:hAnsiTheme="majorBidi" w:cstheme="majorBidi"/>
          <w:sz w:val="24"/>
          <w:szCs w:val="24"/>
        </w:rPr>
        <w:t>purification Mini Kit, Thermo Scientific, USA</w:t>
      </w:r>
      <w:r w:rsidRPr="00CC58A4">
        <w:rPr>
          <w:rFonts w:asciiTheme="majorBidi" w:hAnsiTheme="majorBidi" w:cstheme="majorBidi"/>
          <w:b/>
          <w:bCs/>
          <w:i/>
          <w:iCs/>
          <w:sz w:val="24"/>
          <w:szCs w:val="24"/>
        </w:rPr>
        <w:t>)</w:t>
      </w:r>
      <w:r w:rsidRPr="00CC58A4">
        <w:rPr>
          <w:rFonts w:asciiTheme="majorBidi" w:hAnsiTheme="majorBidi" w:cstheme="majorBidi"/>
          <w:sz w:val="24"/>
          <w:szCs w:val="24"/>
        </w:rPr>
        <w:t>.</w:t>
      </w:r>
    </w:p>
    <w:p w14:paraId="37612B13" w14:textId="77777777" w:rsidR="00CC58A4" w:rsidRPr="00CC58A4" w:rsidRDefault="00CC58A4" w:rsidP="00CC58A4">
      <w:pPr>
        <w:spacing w:before="120" w:line="480" w:lineRule="auto"/>
        <w:ind w:left="-288"/>
        <w:jc w:val="both"/>
        <w:rPr>
          <w:rFonts w:asciiTheme="majorBidi" w:hAnsiTheme="majorBidi" w:cstheme="majorBidi"/>
          <w:sz w:val="24"/>
          <w:szCs w:val="24"/>
        </w:rPr>
      </w:pPr>
      <w:r w:rsidRPr="00CC58A4">
        <w:rPr>
          <w:rFonts w:asciiTheme="majorBidi" w:hAnsiTheme="majorBidi" w:cstheme="majorBidi"/>
          <w:b/>
          <w:bCs/>
          <w:sz w:val="24"/>
          <w:szCs w:val="24"/>
          <w:u w:val="single"/>
        </w:rPr>
        <w:t>Steps of DNA extraction:</w:t>
      </w:r>
    </w:p>
    <w:p w14:paraId="25BE520B"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Twenty µl of Proteinase K solution was added to 200 µl of whole blood of each sample and mixed by vortexing. Then 400 µl of lysis solution was added and mixed thoroughly by vortexing to obtain a uniform suspension.</w:t>
      </w:r>
    </w:p>
    <w:p w14:paraId="115E372E"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The mixture was incubated at 56</w:t>
      </w:r>
      <w:r w:rsidRPr="00CC58A4">
        <w:rPr>
          <w:rFonts w:asciiTheme="majorBidi" w:hAnsiTheme="majorBidi" w:cstheme="majorBidi"/>
          <w:sz w:val="24"/>
          <w:szCs w:val="24"/>
          <w:vertAlign w:val="superscript"/>
        </w:rPr>
        <w:t>o</w:t>
      </w:r>
      <w:r w:rsidRPr="00CC58A4">
        <w:rPr>
          <w:rFonts w:asciiTheme="majorBidi" w:hAnsiTheme="majorBidi" w:cstheme="majorBidi"/>
          <w:sz w:val="24"/>
          <w:szCs w:val="24"/>
        </w:rPr>
        <w:t>C for 10 minutes in a shaking water bath until the cells were completely lysed.</w:t>
      </w:r>
    </w:p>
    <w:p w14:paraId="6677A89D"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Two hundred µl of 96% ethanol was added and mixed by pipetting.</w:t>
      </w:r>
    </w:p>
    <w:p w14:paraId="178C8520"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lastRenderedPageBreak/>
        <w:t>The prepared mixture was transferred to the spin column and centrifuged for 1 minute at 8000 rpm then the collection tube containing the flow-through solution was discarded and the column was placed into a new 2 ml collection tube.</w:t>
      </w:r>
    </w:p>
    <w:p w14:paraId="04DBDA4C"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Five hundred µl of the prepared wash buffer I was added and centrifuged for 1 minute at 10,000 rpm. The flow-through was then discarded and the column was placed back into the collection tube.</w:t>
      </w:r>
    </w:p>
    <w:p w14:paraId="01523588"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Five hundred µl of the prepared wash buffer II was added to the column and centrifuged for 3 minutes at maximum speed 14,000 rpm.</w:t>
      </w:r>
    </w:p>
    <w:p w14:paraId="49DC646B"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The collection tube was emptied and the purification column was placed back into the tube then the column was re-spun for 1 minute at 14,000 rpm.</w:t>
      </w:r>
    </w:p>
    <w:p w14:paraId="270537B0"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The collection tube containing the flow-through solution was discarded and the column was transferred to a sterile 1.5 ml microcentrifuge tube.</w:t>
      </w:r>
    </w:p>
    <w:p w14:paraId="0E361F93" w14:textId="77777777" w:rsidR="00CC58A4" w:rsidRPr="00CC58A4" w:rsidRDefault="00CC58A4" w:rsidP="00CC58A4">
      <w:pPr>
        <w:numPr>
          <w:ilvl w:val="0"/>
          <w:numId w:val="2"/>
        </w:numPr>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 xml:space="preserve"> Fifty µl of elution buffer was added to the center of the column</w:t>
      </w:r>
      <w:r w:rsidRPr="00CC58A4">
        <w:rPr>
          <w:rFonts w:asciiTheme="majorBidi" w:hAnsiTheme="majorBidi" w:cstheme="majorBidi"/>
          <w:sz w:val="24"/>
          <w:szCs w:val="24"/>
        </w:rPr>
        <w:br/>
        <w:t xml:space="preserve">membrane to elute gDNA, incubated for 2 minutes at room temperature (25 </w:t>
      </w:r>
      <w:r w:rsidRPr="00CC58A4">
        <w:rPr>
          <w:rFonts w:asciiTheme="majorBidi" w:hAnsiTheme="majorBidi" w:cstheme="majorBidi"/>
          <w:sz w:val="24"/>
          <w:szCs w:val="24"/>
          <w:vertAlign w:val="superscript"/>
        </w:rPr>
        <w:t>o</w:t>
      </w:r>
      <w:r w:rsidRPr="00CC58A4">
        <w:rPr>
          <w:rFonts w:asciiTheme="majorBidi" w:hAnsiTheme="majorBidi" w:cstheme="majorBidi"/>
          <w:sz w:val="24"/>
          <w:szCs w:val="24"/>
        </w:rPr>
        <w:t>C) and centrifuged for 1 minute at 10,000 rpm.</w:t>
      </w:r>
    </w:p>
    <w:p w14:paraId="4D660C90" w14:textId="77777777" w:rsidR="00CC58A4" w:rsidRPr="00CC58A4" w:rsidRDefault="00CC58A4" w:rsidP="00CC58A4">
      <w:pPr>
        <w:numPr>
          <w:ilvl w:val="0"/>
          <w:numId w:val="2"/>
        </w:numPr>
        <w:tabs>
          <w:tab w:val="clear" w:pos="720"/>
          <w:tab w:val="num" w:pos="426"/>
        </w:tabs>
        <w:spacing w:after="0" w:line="480" w:lineRule="auto"/>
        <w:ind w:left="426" w:firstLine="0"/>
        <w:jc w:val="both"/>
        <w:rPr>
          <w:rFonts w:asciiTheme="majorBidi" w:hAnsiTheme="majorBidi" w:cstheme="majorBidi"/>
          <w:sz w:val="24"/>
          <w:szCs w:val="24"/>
        </w:rPr>
      </w:pPr>
      <w:r w:rsidRPr="00CC58A4">
        <w:rPr>
          <w:rFonts w:asciiTheme="majorBidi" w:hAnsiTheme="majorBidi" w:cstheme="majorBidi"/>
          <w:sz w:val="24"/>
          <w:szCs w:val="24"/>
        </w:rPr>
        <w:t xml:space="preserve">All purified gDNA for each sample was eluted into the tube and the purification column was discarded. </w:t>
      </w:r>
    </w:p>
    <w:p w14:paraId="5EFCD910" w14:textId="77777777" w:rsidR="00CC58A4" w:rsidRPr="00CC58A4" w:rsidRDefault="00CC58A4" w:rsidP="00CC58A4">
      <w:pPr>
        <w:spacing w:before="360" w:line="480" w:lineRule="auto"/>
        <w:jc w:val="both"/>
        <w:rPr>
          <w:rFonts w:asciiTheme="majorBidi" w:hAnsiTheme="majorBidi" w:cstheme="majorBidi"/>
          <w:sz w:val="24"/>
          <w:szCs w:val="24"/>
          <w:u w:val="single"/>
        </w:rPr>
      </w:pPr>
      <w:r w:rsidRPr="00CC58A4">
        <w:rPr>
          <w:rFonts w:asciiTheme="majorBidi" w:hAnsiTheme="majorBidi" w:cstheme="majorBidi"/>
          <w:b/>
          <w:bCs/>
          <w:sz w:val="24"/>
          <w:szCs w:val="24"/>
          <w:u w:val="single"/>
        </w:rPr>
        <w:t>2-</w:t>
      </w:r>
      <w:r w:rsidRPr="00CC58A4">
        <w:rPr>
          <w:rFonts w:asciiTheme="majorBidi" w:hAnsiTheme="majorBidi" w:cstheme="majorBidi"/>
          <w:sz w:val="24"/>
          <w:szCs w:val="24"/>
          <w:u w:val="single"/>
        </w:rPr>
        <w:t xml:space="preserve"> </w:t>
      </w:r>
      <w:r w:rsidRPr="00CC58A4">
        <w:rPr>
          <w:rStyle w:val="fontstyle01"/>
          <w:rFonts w:asciiTheme="majorBidi" w:hAnsiTheme="majorBidi" w:cstheme="majorBidi"/>
          <w:sz w:val="24"/>
          <w:szCs w:val="24"/>
          <w:u w:val="single"/>
        </w:rPr>
        <w:t>Assessment of DNA concentration and purity</w:t>
      </w:r>
    </w:p>
    <w:p w14:paraId="2520121B" w14:textId="77777777" w:rsidR="00CC58A4" w:rsidRPr="00CC58A4" w:rsidRDefault="00CC58A4" w:rsidP="00CC58A4">
      <w:pPr>
        <w:autoSpaceDE w:val="0"/>
        <w:autoSpaceDN w:val="0"/>
        <w:adjustRightInd w:val="0"/>
        <w:spacing w:before="360" w:line="480" w:lineRule="auto"/>
        <w:ind w:firstLine="720"/>
        <w:jc w:val="both"/>
        <w:rPr>
          <w:rFonts w:asciiTheme="majorBidi" w:hAnsiTheme="majorBidi" w:cstheme="majorBidi"/>
          <w:sz w:val="24"/>
          <w:szCs w:val="24"/>
        </w:rPr>
      </w:pPr>
      <w:r w:rsidRPr="00CC58A4">
        <w:rPr>
          <w:rFonts w:asciiTheme="majorBidi" w:hAnsiTheme="majorBidi" w:cstheme="majorBidi"/>
          <w:sz w:val="24"/>
          <w:szCs w:val="24"/>
        </w:rPr>
        <w:t xml:space="preserve">The gDNA concentration and purity </w:t>
      </w:r>
      <w:r w:rsidRPr="00CC58A4">
        <w:rPr>
          <w:rFonts w:asciiTheme="majorBidi" w:hAnsiTheme="majorBidi" w:cstheme="majorBidi"/>
          <w:spacing w:val="7"/>
          <w:position w:val="-1"/>
          <w:sz w:val="24"/>
          <w:szCs w:val="24"/>
        </w:rPr>
        <w:t xml:space="preserve">(A260/280) </w:t>
      </w:r>
      <w:r w:rsidRPr="00CC58A4">
        <w:rPr>
          <w:rFonts w:asciiTheme="majorBidi" w:hAnsiTheme="majorBidi" w:cstheme="majorBidi"/>
          <w:sz w:val="24"/>
          <w:szCs w:val="24"/>
        </w:rPr>
        <w:t xml:space="preserve">were assessed for each sample before its use in genotyping assays using </w:t>
      </w:r>
      <w:r w:rsidRPr="00CC58A4">
        <w:rPr>
          <w:rFonts w:asciiTheme="majorBidi" w:hAnsiTheme="majorBidi" w:cstheme="majorBidi"/>
          <w:i/>
          <w:iCs/>
          <w:sz w:val="24"/>
          <w:szCs w:val="24"/>
        </w:rPr>
        <w:t>NanoDrop</w:t>
      </w:r>
      <w:r w:rsidRPr="00CC58A4">
        <w:rPr>
          <w:rFonts w:asciiTheme="majorBidi" w:hAnsiTheme="majorBidi" w:cstheme="majorBidi"/>
          <w:sz w:val="24"/>
          <w:szCs w:val="24"/>
        </w:rPr>
        <w:t xml:space="preserve">™ 2000 UV-Vis spectrophotometer (Thermo Scientific, Wilmington, </w:t>
      </w:r>
      <w:r w:rsidRPr="00CC58A4">
        <w:rPr>
          <w:rFonts w:asciiTheme="majorBidi" w:hAnsiTheme="majorBidi" w:cstheme="majorBidi"/>
          <w:i/>
          <w:iCs/>
          <w:sz w:val="24"/>
          <w:szCs w:val="24"/>
        </w:rPr>
        <w:t>Delaware,</w:t>
      </w:r>
      <w:r w:rsidRPr="00CC58A4">
        <w:rPr>
          <w:rFonts w:asciiTheme="majorBidi" w:hAnsiTheme="majorBidi" w:cstheme="majorBidi"/>
          <w:sz w:val="24"/>
          <w:szCs w:val="24"/>
        </w:rPr>
        <w:t xml:space="preserve"> USA).</w:t>
      </w:r>
    </w:p>
    <w:p w14:paraId="2DC94DFE" w14:textId="77777777" w:rsidR="00713362" w:rsidRDefault="00713362" w:rsidP="00CC58A4">
      <w:pPr>
        <w:autoSpaceDE w:val="0"/>
        <w:autoSpaceDN w:val="0"/>
        <w:adjustRightInd w:val="0"/>
        <w:spacing w:before="360" w:line="480" w:lineRule="auto"/>
        <w:jc w:val="both"/>
        <w:rPr>
          <w:rFonts w:asciiTheme="majorBidi" w:hAnsiTheme="majorBidi" w:cstheme="majorBidi"/>
          <w:b/>
          <w:bCs/>
          <w:sz w:val="24"/>
          <w:szCs w:val="24"/>
          <w:u w:val="single"/>
        </w:rPr>
      </w:pPr>
    </w:p>
    <w:p w14:paraId="5A6360BC" w14:textId="02DB2FE6" w:rsidR="00CC58A4" w:rsidRPr="00CC58A4" w:rsidRDefault="00CC58A4" w:rsidP="00CC58A4">
      <w:pPr>
        <w:autoSpaceDE w:val="0"/>
        <w:autoSpaceDN w:val="0"/>
        <w:adjustRightInd w:val="0"/>
        <w:spacing w:before="360" w:line="480" w:lineRule="auto"/>
        <w:jc w:val="both"/>
        <w:rPr>
          <w:rFonts w:asciiTheme="majorBidi" w:hAnsiTheme="majorBidi" w:cstheme="majorBidi"/>
          <w:sz w:val="24"/>
          <w:szCs w:val="24"/>
          <w:u w:val="single"/>
        </w:rPr>
      </w:pPr>
      <w:r w:rsidRPr="00CC58A4">
        <w:rPr>
          <w:rFonts w:asciiTheme="majorBidi" w:hAnsiTheme="majorBidi" w:cstheme="majorBidi"/>
          <w:b/>
          <w:bCs/>
          <w:sz w:val="24"/>
          <w:szCs w:val="24"/>
          <w:u w:val="single"/>
        </w:rPr>
        <w:lastRenderedPageBreak/>
        <w:t>3-</w:t>
      </w:r>
      <w:r w:rsidRPr="00CC58A4">
        <w:rPr>
          <w:rStyle w:val="fontstyle01"/>
          <w:rFonts w:asciiTheme="majorBidi" w:hAnsiTheme="majorBidi" w:cstheme="majorBidi"/>
          <w:sz w:val="24"/>
          <w:szCs w:val="24"/>
          <w:u w:val="single"/>
        </w:rPr>
        <w:t>Amplification and genotyping</w:t>
      </w:r>
    </w:p>
    <w:p w14:paraId="3182FEB7" w14:textId="77777777" w:rsidR="00CC58A4" w:rsidRPr="00CC58A4" w:rsidRDefault="00CC58A4" w:rsidP="00CC58A4">
      <w:pPr>
        <w:autoSpaceDE w:val="0"/>
        <w:autoSpaceDN w:val="0"/>
        <w:adjustRightInd w:val="0"/>
        <w:spacing w:before="360" w:line="480" w:lineRule="auto"/>
        <w:ind w:firstLine="720"/>
        <w:jc w:val="both"/>
        <w:rPr>
          <w:rFonts w:asciiTheme="majorBidi" w:hAnsiTheme="majorBidi" w:cstheme="majorBidi"/>
          <w:sz w:val="24"/>
          <w:szCs w:val="24"/>
        </w:rPr>
      </w:pPr>
      <w:r w:rsidRPr="00CC58A4">
        <w:rPr>
          <w:rFonts w:asciiTheme="majorBidi" w:hAnsiTheme="majorBidi" w:cstheme="majorBidi"/>
          <w:sz w:val="24"/>
          <w:szCs w:val="24"/>
        </w:rPr>
        <w:t>The gDNA was amplified by TaqMan</w:t>
      </w:r>
      <w:r w:rsidRPr="00CC58A4">
        <w:rPr>
          <w:rFonts w:asciiTheme="majorBidi" w:hAnsiTheme="majorBidi" w:cstheme="majorBidi"/>
          <w:sz w:val="24"/>
          <w:szCs w:val="24"/>
          <w:vertAlign w:val="superscript"/>
        </w:rPr>
        <w:t>®</w:t>
      </w:r>
      <w:r w:rsidRPr="00CC58A4">
        <w:rPr>
          <w:rFonts w:asciiTheme="majorBidi" w:hAnsiTheme="majorBidi" w:cstheme="majorBidi"/>
          <w:sz w:val="24"/>
          <w:szCs w:val="24"/>
        </w:rPr>
        <w:t xml:space="preserve"> Universal PCR Master Mix II supplied by </w:t>
      </w:r>
      <w:r w:rsidRPr="00CC58A4">
        <w:rPr>
          <w:rFonts w:asciiTheme="majorBidi" w:hAnsiTheme="majorBidi" w:cstheme="majorBidi"/>
          <w:i/>
          <w:iCs/>
          <w:sz w:val="24"/>
          <w:szCs w:val="24"/>
        </w:rPr>
        <w:t xml:space="preserve">Applied Biosystems, </w:t>
      </w:r>
      <w:r w:rsidRPr="00CC58A4">
        <w:rPr>
          <w:rFonts w:asciiTheme="majorBidi" w:hAnsiTheme="majorBidi" w:cstheme="majorBidi"/>
          <w:sz w:val="24"/>
          <w:szCs w:val="24"/>
        </w:rPr>
        <w:t xml:space="preserve">California, USA. </w:t>
      </w:r>
    </w:p>
    <w:p w14:paraId="097273F9" w14:textId="77777777" w:rsidR="00CC58A4" w:rsidRPr="00CC58A4" w:rsidRDefault="00CC58A4" w:rsidP="00CC58A4">
      <w:pPr>
        <w:autoSpaceDE w:val="0"/>
        <w:autoSpaceDN w:val="0"/>
        <w:adjustRightInd w:val="0"/>
        <w:spacing w:line="480" w:lineRule="auto"/>
        <w:ind w:firstLine="720"/>
        <w:jc w:val="both"/>
        <w:rPr>
          <w:rFonts w:asciiTheme="majorBidi" w:hAnsiTheme="majorBidi" w:cstheme="majorBidi"/>
          <w:sz w:val="24"/>
          <w:szCs w:val="24"/>
        </w:rPr>
      </w:pPr>
      <w:r w:rsidRPr="00CC58A4">
        <w:rPr>
          <w:rFonts w:asciiTheme="majorBidi" w:hAnsiTheme="majorBidi" w:cstheme="majorBidi"/>
          <w:sz w:val="24"/>
          <w:szCs w:val="24"/>
        </w:rPr>
        <w:t>Predesigned TaqMan</w:t>
      </w:r>
      <w:r w:rsidRPr="00CC58A4">
        <w:rPr>
          <w:rFonts w:asciiTheme="majorBidi" w:hAnsiTheme="majorBidi" w:cstheme="majorBidi"/>
          <w:sz w:val="24"/>
          <w:szCs w:val="24"/>
          <w:vertAlign w:val="superscript"/>
        </w:rPr>
        <w:t>®</w:t>
      </w:r>
      <w:r w:rsidRPr="00CC58A4">
        <w:rPr>
          <w:rFonts w:asciiTheme="majorBidi" w:hAnsiTheme="majorBidi" w:cstheme="majorBidi"/>
          <w:sz w:val="24"/>
          <w:szCs w:val="24"/>
        </w:rPr>
        <w:t xml:space="preserve"> SNP Genotyping Assay kits were used for both studied SNPs (rs4494157, ID</w:t>
      </w:r>
      <w:hyperlink r:id="rId5" w:tgtFrame="_blank" w:history="1">
        <w:r w:rsidRPr="00CC58A4">
          <w:rPr>
            <w:rFonts w:asciiTheme="majorBidi" w:eastAsia="Times New Roman" w:hAnsiTheme="majorBidi" w:cstheme="majorBidi"/>
            <w:spacing w:val="8"/>
            <w:sz w:val="24"/>
            <w:szCs w:val="24"/>
            <w:lang w:val="en"/>
          </w:rPr>
          <w:t>C__11597746_10</w:t>
        </w:r>
      </w:hyperlink>
      <w:r w:rsidRPr="00CC58A4">
        <w:rPr>
          <w:rFonts w:asciiTheme="majorBidi" w:hAnsiTheme="majorBidi" w:cstheme="majorBidi"/>
          <w:sz w:val="24"/>
          <w:szCs w:val="24"/>
        </w:rPr>
        <w:t>) and (rs10794501, ID</w:t>
      </w:r>
      <w:hyperlink r:id="rId6" w:tgtFrame="_blank" w:history="1">
        <w:r w:rsidRPr="00CC58A4">
          <w:rPr>
            <w:rFonts w:asciiTheme="majorBidi" w:eastAsia="Times New Roman" w:hAnsiTheme="majorBidi" w:cstheme="majorBidi"/>
            <w:spacing w:val="8"/>
            <w:sz w:val="24"/>
            <w:szCs w:val="24"/>
            <w:lang w:val="en"/>
          </w:rPr>
          <w:t>C__31148020_10</w:t>
        </w:r>
      </w:hyperlink>
      <w:r w:rsidRPr="00CC58A4">
        <w:rPr>
          <w:rFonts w:asciiTheme="majorBidi" w:eastAsia="Times New Roman" w:hAnsiTheme="majorBidi" w:cstheme="majorBidi"/>
          <w:spacing w:val="8"/>
          <w:sz w:val="24"/>
          <w:szCs w:val="24"/>
          <w:lang w:val="en"/>
        </w:rPr>
        <w:t xml:space="preserve">) </w:t>
      </w:r>
      <w:r w:rsidRPr="00CC58A4">
        <w:rPr>
          <w:rFonts w:asciiTheme="majorBidi" w:hAnsiTheme="majorBidi" w:cstheme="majorBidi"/>
          <w:sz w:val="24"/>
          <w:szCs w:val="24"/>
        </w:rPr>
        <w:t xml:space="preserve">and were supplied by </w:t>
      </w:r>
      <w:r w:rsidRPr="00CC58A4">
        <w:rPr>
          <w:rFonts w:asciiTheme="majorBidi" w:hAnsiTheme="majorBidi" w:cstheme="majorBidi"/>
          <w:i/>
          <w:iCs/>
          <w:sz w:val="24"/>
          <w:szCs w:val="24"/>
        </w:rPr>
        <w:t>Applied Biosystems</w:t>
      </w:r>
      <w:r w:rsidRPr="00CC58A4">
        <w:rPr>
          <w:rFonts w:asciiTheme="majorBidi" w:hAnsiTheme="majorBidi" w:cstheme="majorBidi"/>
          <w:sz w:val="24"/>
          <w:szCs w:val="24"/>
        </w:rPr>
        <w:t xml:space="preserve">, California, USA. </w:t>
      </w:r>
    </w:p>
    <w:p w14:paraId="06D7C17F" w14:textId="77777777" w:rsidR="00CC58A4" w:rsidRPr="00CC58A4" w:rsidRDefault="00CC58A4" w:rsidP="00CC58A4">
      <w:pPr>
        <w:shd w:val="clear" w:color="auto" w:fill="FFFFFF"/>
        <w:spacing w:after="75" w:line="480" w:lineRule="auto"/>
        <w:textAlignment w:val="baseline"/>
        <w:rPr>
          <w:rFonts w:asciiTheme="majorBidi" w:eastAsia="Times New Roman" w:hAnsiTheme="majorBidi" w:cstheme="majorBidi"/>
          <w:sz w:val="24"/>
          <w:szCs w:val="24"/>
        </w:rPr>
      </w:pPr>
      <w:r w:rsidRPr="00CC58A4">
        <w:rPr>
          <w:rFonts w:asciiTheme="majorBidi" w:hAnsiTheme="majorBidi" w:cstheme="majorBidi"/>
          <w:sz w:val="24"/>
          <w:szCs w:val="24"/>
        </w:rPr>
        <w:t xml:space="preserve">For rs4494157, the </w:t>
      </w:r>
      <w:r w:rsidRPr="00CC58A4">
        <w:rPr>
          <w:rFonts w:asciiTheme="majorBidi" w:eastAsia="Times New Roman" w:hAnsiTheme="majorBidi" w:cstheme="majorBidi"/>
          <w:sz w:val="24"/>
          <w:szCs w:val="24"/>
        </w:rPr>
        <w:t>Context Sequence [VIC/FAM]: TTATAGAGGAGGAAACTGAGGCTCA</w:t>
      </w:r>
      <w:r w:rsidRPr="00CC58A4">
        <w:rPr>
          <w:rFonts w:asciiTheme="majorBidi" w:eastAsia="Times New Roman" w:hAnsiTheme="majorBidi" w:cstheme="majorBidi"/>
          <w:sz w:val="24"/>
          <w:szCs w:val="24"/>
          <w:u w:val="single"/>
        </w:rPr>
        <w:t>[G/T]</w:t>
      </w:r>
      <w:r w:rsidRPr="00CC58A4">
        <w:rPr>
          <w:rFonts w:asciiTheme="majorBidi" w:eastAsia="Times New Roman" w:hAnsiTheme="majorBidi" w:cstheme="majorBidi"/>
          <w:sz w:val="24"/>
          <w:szCs w:val="24"/>
        </w:rPr>
        <w:t>TGGAGGGGTAGGACTTGCCCAAGGT</w:t>
      </w:r>
    </w:p>
    <w:p w14:paraId="1E26D4CB" w14:textId="77777777" w:rsidR="00CC58A4" w:rsidRPr="00CC58A4" w:rsidRDefault="00CC58A4" w:rsidP="00CC58A4">
      <w:pPr>
        <w:shd w:val="clear" w:color="auto" w:fill="FFFFFF"/>
        <w:spacing w:after="75" w:line="480" w:lineRule="auto"/>
        <w:textAlignment w:val="baseline"/>
        <w:rPr>
          <w:rFonts w:asciiTheme="majorBidi" w:eastAsia="Times New Roman" w:hAnsiTheme="majorBidi" w:cstheme="majorBidi"/>
          <w:sz w:val="24"/>
          <w:szCs w:val="24"/>
        </w:rPr>
      </w:pPr>
      <w:r w:rsidRPr="00CC58A4">
        <w:rPr>
          <w:rFonts w:asciiTheme="majorBidi" w:eastAsia="Times New Roman" w:hAnsiTheme="majorBidi" w:cstheme="majorBidi"/>
          <w:sz w:val="24"/>
          <w:szCs w:val="24"/>
        </w:rPr>
        <w:t xml:space="preserve">While, for </w:t>
      </w:r>
      <w:r w:rsidRPr="00CC58A4">
        <w:rPr>
          <w:rFonts w:asciiTheme="majorBidi" w:hAnsiTheme="majorBidi" w:cstheme="majorBidi"/>
          <w:sz w:val="24"/>
          <w:szCs w:val="24"/>
        </w:rPr>
        <w:t>rs10794501</w:t>
      </w:r>
      <w:r w:rsidRPr="00CC58A4">
        <w:rPr>
          <w:rFonts w:asciiTheme="majorBidi" w:eastAsia="Times New Roman" w:hAnsiTheme="majorBidi" w:cstheme="majorBidi"/>
          <w:sz w:val="24"/>
          <w:szCs w:val="24"/>
        </w:rPr>
        <w:t>, the Context Sequence [VIC/FAM]:</w:t>
      </w:r>
    </w:p>
    <w:p w14:paraId="52BE374D" w14:textId="77777777" w:rsidR="00CC58A4" w:rsidRPr="00CC58A4" w:rsidRDefault="00CC58A4" w:rsidP="00CC58A4">
      <w:pPr>
        <w:shd w:val="clear" w:color="auto" w:fill="FFFFFF"/>
        <w:spacing w:after="0" w:line="480" w:lineRule="auto"/>
        <w:textAlignment w:val="baseline"/>
        <w:rPr>
          <w:rFonts w:asciiTheme="majorBidi" w:eastAsia="Times New Roman" w:hAnsiTheme="majorBidi" w:cstheme="majorBidi"/>
          <w:sz w:val="24"/>
          <w:szCs w:val="24"/>
        </w:rPr>
      </w:pPr>
      <w:r w:rsidRPr="00CC58A4">
        <w:rPr>
          <w:rFonts w:asciiTheme="majorBidi" w:eastAsia="Times New Roman" w:hAnsiTheme="majorBidi" w:cstheme="majorBidi"/>
          <w:sz w:val="24"/>
          <w:szCs w:val="24"/>
        </w:rPr>
        <w:t>GCACTCAACTTAAGGTCTTTTCAAA</w:t>
      </w:r>
      <w:r w:rsidRPr="00CC58A4">
        <w:rPr>
          <w:rFonts w:asciiTheme="majorBidi" w:eastAsia="Times New Roman" w:hAnsiTheme="majorBidi" w:cstheme="majorBidi"/>
          <w:sz w:val="24"/>
          <w:szCs w:val="24"/>
          <w:u w:val="single"/>
        </w:rPr>
        <w:t>[A/T]</w:t>
      </w:r>
      <w:r w:rsidRPr="00CC58A4">
        <w:rPr>
          <w:rFonts w:asciiTheme="majorBidi" w:eastAsia="Times New Roman" w:hAnsiTheme="majorBidi" w:cstheme="majorBidi"/>
          <w:sz w:val="24"/>
          <w:szCs w:val="24"/>
        </w:rPr>
        <w:t>GGCACCTCCTCTGTGAAGCCCTCAT</w:t>
      </w:r>
    </w:p>
    <w:p w14:paraId="665C70B8" w14:textId="77777777" w:rsidR="00CC58A4" w:rsidRPr="00CC58A4" w:rsidRDefault="00CC58A4" w:rsidP="00713362">
      <w:pPr>
        <w:shd w:val="clear" w:color="auto" w:fill="FFFFFF"/>
        <w:spacing w:after="0" w:line="480" w:lineRule="auto"/>
        <w:ind w:firstLine="720"/>
        <w:jc w:val="both"/>
        <w:textAlignment w:val="baseline"/>
        <w:rPr>
          <w:rFonts w:asciiTheme="majorBidi" w:eastAsia="Times New Roman" w:hAnsiTheme="majorBidi" w:cstheme="majorBidi"/>
          <w:sz w:val="24"/>
          <w:szCs w:val="24"/>
        </w:rPr>
      </w:pPr>
      <w:r w:rsidRPr="00CC58A4">
        <w:rPr>
          <w:rFonts w:asciiTheme="majorBidi" w:hAnsiTheme="majorBidi" w:cstheme="majorBidi"/>
          <w:sz w:val="24"/>
          <w:szCs w:val="24"/>
        </w:rPr>
        <w:t xml:space="preserve">Further details are restricted to Applied Biosystems and cannot be provided. Most of the purified DNA samples had concentration of 20 ng/µl which was the recommended DNA concentration per PCR well for TaqMan® SNP assay and the samples with DNA concentration above 20 ng/µl were diluted with DNase-free water while the samples with DNA concentration less than 20 ng/µl, more volume were taken to deliver a final DNA mass for all DNA samples of 20 ng/µl before transferring it to the optical reaction plate for thermal cycling.  </w:t>
      </w:r>
    </w:p>
    <w:p w14:paraId="035D2454" w14:textId="77777777" w:rsidR="00CC58A4" w:rsidRPr="00CC58A4" w:rsidRDefault="00CC58A4" w:rsidP="00CC58A4">
      <w:pPr>
        <w:autoSpaceDE w:val="0"/>
        <w:autoSpaceDN w:val="0"/>
        <w:adjustRightInd w:val="0"/>
        <w:spacing w:line="480" w:lineRule="auto"/>
        <w:ind w:firstLine="720"/>
        <w:jc w:val="both"/>
        <w:rPr>
          <w:rFonts w:asciiTheme="majorBidi" w:hAnsiTheme="majorBidi" w:cstheme="majorBidi"/>
          <w:sz w:val="24"/>
          <w:szCs w:val="24"/>
        </w:rPr>
      </w:pPr>
      <w:r w:rsidRPr="00CC58A4">
        <w:rPr>
          <w:rFonts w:asciiTheme="majorBidi" w:hAnsiTheme="majorBidi" w:cstheme="majorBidi"/>
          <w:sz w:val="24"/>
          <w:szCs w:val="24"/>
        </w:rPr>
        <w:t>One No Template Control sample of DNase-free water was used in each plate to orient the VIC-dye and/or FAM-dye clusters to an origin and to enable the detection of DNA contamination on a given plate.</w:t>
      </w:r>
    </w:p>
    <w:p w14:paraId="27476A0F" w14:textId="77777777" w:rsidR="00CC58A4" w:rsidRPr="00CC58A4" w:rsidRDefault="00CC58A4" w:rsidP="00CC58A4">
      <w:pPr>
        <w:autoSpaceDE w:val="0"/>
        <w:autoSpaceDN w:val="0"/>
        <w:adjustRightInd w:val="0"/>
        <w:spacing w:line="480" w:lineRule="auto"/>
        <w:ind w:firstLine="720"/>
        <w:jc w:val="both"/>
        <w:rPr>
          <w:rFonts w:asciiTheme="majorBidi" w:hAnsiTheme="majorBidi" w:cstheme="majorBidi"/>
          <w:sz w:val="24"/>
          <w:szCs w:val="24"/>
        </w:rPr>
      </w:pPr>
      <w:r w:rsidRPr="00CC58A4">
        <w:rPr>
          <w:rFonts w:asciiTheme="majorBidi" w:hAnsiTheme="majorBidi" w:cstheme="majorBidi"/>
          <w:sz w:val="24"/>
          <w:szCs w:val="24"/>
        </w:rPr>
        <w:t xml:space="preserve">The reaction mixture for each assay was prepared before transferring it to the optical reaction plate for thermal cycling. This reaction mixture was made from 0.5 µl of (40X TaqMan® </w:t>
      </w:r>
      <w:r w:rsidRPr="00CC58A4">
        <w:rPr>
          <w:rFonts w:asciiTheme="majorBidi" w:hAnsiTheme="majorBidi" w:cstheme="majorBidi"/>
          <w:sz w:val="24"/>
          <w:szCs w:val="24"/>
        </w:rPr>
        <w:lastRenderedPageBreak/>
        <w:t>SNP (rs4494157 or rs10794501) genotyping assay) and 10 µL of (2X TaqMan® universal PCR master mix) without addition of DNAase free water and DNA sample.</w:t>
      </w:r>
    </w:p>
    <w:p w14:paraId="79BC761F" w14:textId="77777777" w:rsidR="00CC58A4" w:rsidRPr="00CC58A4" w:rsidRDefault="00CC58A4" w:rsidP="00CC58A4">
      <w:pPr>
        <w:autoSpaceDE w:val="0"/>
        <w:autoSpaceDN w:val="0"/>
        <w:adjustRightInd w:val="0"/>
        <w:spacing w:line="480" w:lineRule="auto"/>
        <w:ind w:firstLine="720"/>
        <w:jc w:val="both"/>
        <w:rPr>
          <w:rFonts w:asciiTheme="majorBidi" w:hAnsiTheme="majorBidi" w:cstheme="majorBidi"/>
          <w:sz w:val="24"/>
          <w:szCs w:val="24"/>
        </w:rPr>
      </w:pPr>
      <w:r w:rsidRPr="00CC58A4">
        <w:rPr>
          <w:rFonts w:asciiTheme="majorBidi" w:hAnsiTheme="majorBidi" w:cstheme="majorBidi"/>
          <w:sz w:val="24"/>
          <w:szCs w:val="24"/>
        </w:rPr>
        <w:t xml:space="preserve">The total volume from the reaction mixture components required for the 48-well plate of the PCR was calculated by multiplying the needed volume of each component for each well (0.5 µL + 10 µL) by 53 to avoid pipetting error, and was prepared and pipetted into a sterile microcentrifuge tube. The tube was closed and thoroughly mixed by swirling it and then centrifuged briefly to spin down the contents and to eliminate any air bubbles from the reaction mix. </w:t>
      </w:r>
    </w:p>
    <w:p w14:paraId="4E0C77B3" w14:textId="77777777" w:rsidR="00CC58A4" w:rsidRPr="00CC58A4" w:rsidRDefault="00CC58A4" w:rsidP="00CC58A4">
      <w:pPr>
        <w:autoSpaceDE w:val="0"/>
        <w:autoSpaceDN w:val="0"/>
        <w:adjustRightInd w:val="0"/>
        <w:spacing w:line="480" w:lineRule="auto"/>
        <w:jc w:val="both"/>
        <w:rPr>
          <w:rFonts w:asciiTheme="majorBidi" w:hAnsiTheme="majorBidi" w:cstheme="majorBidi"/>
          <w:sz w:val="24"/>
          <w:szCs w:val="24"/>
        </w:rPr>
      </w:pPr>
      <w:r w:rsidRPr="00CC58A4">
        <w:rPr>
          <w:rFonts w:asciiTheme="majorBidi" w:hAnsiTheme="majorBidi" w:cstheme="majorBidi"/>
          <w:sz w:val="24"/>
          <w:szCs w:val="24"/>
        </w:rPr>
        <w:t>The final reaction volume per well was 20 µL which consisted of:</w:t>
      </w:r>
    </w:p>
    <w:p w14:paraId="4F58F25B" w14:textId="77777777" w:rsidR="00CC58A4" w:rsidRPr="00CC58A4" w:rsidRDefault="00CC58A4" w:rsidP="00CC58A4">
      <w:pPr>
        <w:widowControl w:val="0"/>
        <w:numPr>
          <w:ilvl w:val="0"/>
          <w:numId w:val="3"/>
        </w:numPr>
        <w:shd w:val="clear" w:color="auto" w:fill="FFFFFF"/>
        <w:autoSpaceDE w:val="0"/>
        <w:autoSpaceDN w:val="0"/>
        <w:adjustRightInd w:val="0"/>
        <w:spacing w:after="0" w:line="480" w:lineRule="auto"/>
        <w:ind w:left="432" w:firstLine="288"/>
        <w:jc w:val="both"/>
        <w:rPr>
          <w:rFonts w:asciiTheme="majorBidi" w:eastAsia="Times New Roman" w:hAnsiTheme="majorBidi" w:cstheme="majorBidi"/>
          <w:sz w:val="24"/>
          <w:szCs w:val="24"/>
        </w:rPr>
      </w:pPr>
      <w:r w:rsidRPr="00CC58A4">
        <w:rPr>
          <w:rFonts w:asciiTheme="majorBidi" w:eastAsia="Times New Roman" w:hAnsiTheme="majorBidi" w:cstheme="majorBidi"/>
          <w:sz w:val="24"/>
          <w:szCs w:val="24"/>
        </w:rPr>
        <w:t>TaqMan</w:t>
      </w:r>
      <w:r w:rsidRPr="00CC58A4">
        <w:rPr>
          <w:rFonts w:asciiTheme="majorBidi" w:eastAsia="Times New Roman" w:hAnsiTheme="majorBidi" w:cstheme="majorBidi"/>
          <w:sz w:val="24"/>
          <w:szCs w:val="24"/>
          <w:vertAlign w:val="superscript"/>
        </w:rPr>
        <w:t>®</w:t>
      </w:r>
      <w:r w:rsidRPr="00CC58A4">
        <w:rPr>
          <w:rFonts w:asciiTheme="majorBidi" w:eastAsia="Times New Roman" w:hAnsiTheme="majorBidi" w:cstheme="majorBidi"/>
          <w:sz w:val="24"/>
          <w:szCs w:val="24"/>
        </w:rPr>
        <w:t xml:space="preserve"> Universal Master Mix II, 2X (10 µl). </w:t>
      </w:r>
    </w:p>
    <w:p w14:paraId="22566F37" w14:textId="77777777" w:rsidR="00CC58A4" w:rsidRPr="00CC58A4" w:rsidRDefault="00CC58A4" w:rsidP="00CC58A4">
      <w:pPr>
        <w:widowControl w:val="0"/>
        <w:numPr>
          <w:ilvl w:val="0"/>
          <w:numId w:val="3"/>
        </w:numPr>
        <w:shd w:val="clear" w:color="auto" w:fill="FFFFFF"/>
        <w:autoSpaceDE w:val="0"/>
        <w:autoSpaceDN w:val="0"/>
        <w:adjustRightInd w:val="0"/>
        <w:spacing w:after="0" w:line="480" w:lineRule="auto"/>
        <w:ind w:left="432" w:firstLine="288"/>
        <w:jc w:val="both"/>
        <w:rPr>
          <w:rFonts w:asciiTheme="majorBidi" w:eastAsia="Times New Roman" w:hAnsiTheme="majorBidi" w:cstheme="majorBidi"/>
          <w:sz w:val="24"/>
          <w:szCs w:val="24"/>
        </w:rPr>
      </w:pPr>
      <w:r w:rsidRPr="00CC58A4">
        <w:rPr>
          <w:rFonts w:asciiTheme="majorBidi" w:eastAsia="Times New Roman" w:hAnsiTheme="majorBidi" w:cstheme="majorBidi"/>
          <w:sz w:val="24"/>
          <w:szCs w:val="24"/>
        </w:rPr>
        <w:t>TaqMan</w:t>
      </w:r>
      <w:r w:rsidRPr="00CC58A4">
        <w:rPr>
          <w:rFonts w:asciiTheme="majorBidi" w:eastAsia="Times New Roman" w:hAnsiTheme="majorBidi" w:cstheme="majorBidi"/>
          <w:sz w:val="24"/>
          <w:szCs w:val="24"/>
          <w:vertAlign w:val="superscript"/>
        </w:rPr>
        <w:t>®</w:t>
      </w:r>
      <w:r w:rsidRPr="00CC58A4">
        <w:rPr>
          <w:rFonts w:asciiTheme="majorBidi" w:eastAsia="Times New Roman" w:hAnsiTheme="majorBidi" w:cstheme="majorBidi"/>
          <w:sz w:val="24"/>
          <w:szCs w:val="24"/>
        </w:rPr>
        <w:t xml:space="preserve"> SNP (rs4494157 or rs10794501)</w:t>
      </w:r>
      <w:r w:rsidRPr="00CC58A4">
        <w:rPr>
          <w:rFonts w:asciiTheme="majorBidi" w:hAnsiTheme="majorBidi" w:cstheme="majorBidi"/>
          <w:sz w:val="24"/>
          <w:szCs w:val="24"/>
        </w:rPr>
        <w:t xml:space="preserve"> </w:t>
      </w:r>
      <w:r w:rsidRPr="00CC58A4">
        <w:rPr>
          <w:rFonts w:asciiTheme="majorBidi" w:eastAsia="Times New Roman" w:hAnsiTheme="majorBidi" w:cstheme="majorBidi"/>
          <w:sz w:val="24"/>
          <w:szCs w:val="24"/>
        </w:rPr>
        <w:t xml:space="preserve">Genotyping Assay, 40X (0.5 µl). </w:t>
      </w:r>
    </w:p>
    <w:p w14:paraId="68F568DF" w14:textId="77777777" w:rsidR="00CC58A4" w:rsidRPr="00CC58A4" w:rsidRDefault="00CC58A4" w:rsidP="00CC58A4">
      <w:pPr>
        <w:widowControl w:val="0"/>
        <w:numPr>
          <w:ilvl w:val="0"/>
          <w:numId w:val="3"/>
        </w:numPr>
        <w:shd w:val="clear" w:color="auto" w:fill="FFFFFF"/>
        <w:autoSpaceDE w:val="0"/>
        <w:autoSpaceDN w:val="0"/>
        <w:adjustRightInd w:val="0"/>
        <w:spacing w:after="0" w:line="480" w:lineRule="auto"/>
        <w:ind w:left="432" w:firstLine="288"/>
        <w:jc w:val="both"/>
        <w:rPr>
          <w:rFonts w:asciiTheme="majorBidi" w:eastAsia="Times New Roman" w:hAnsiTheme="majorBidi" w:cstheme="majorBidi"/>
          <w:sz w:val="24"/>
          <w:szCs w:val="24"/>
        </w:rPr>
      </w:pPr>
      <w:r w:rsidRPr="00CC58A4">
        <w:rPr>
          <w:rFonts w:asciiTheme="majorBidi" w:eastAsia="Times New Roman" w:hAnsiTheme="majorBidi" w:cstheme="majorBidi"/>
          <w:sz w:val="24"/>
          <w:szCs w:val="24"/>
        </w:rPr>
        <w:t>DNA template + DNase-free water (9.5 µl).</w:t>
      </w:r>
    </w:p>
    <w:p w14:paraId="29C50F53" w14:textId="77777777" w:rsidR="00CC58A4" w:rsidRPr="00CC58A4" w:rsidRDefault="00CC58A4" w:rsidP="00CC58A4">
      <w:pPr>
        <w:spacing w:before="360" w:line="480" w:lineRule="auto"/>
        <w:rPr>
          <w:rFonts w:asciiTheme="majorBidi" w:hAnsiTheme="majorBidi" w:cstheme="majorBidi"/>
          <w:b/>
          <w:bCs/>
          <w:sz w:val="24"/>
          <w:szCs w:val="24"/>
        </w:rPr>
      </w:pPr>
      <w:r w:rsidRPr="00CC58A4">
        <w:rPr>
          <w:rFonts w:asciiTheme="majorBidi" w:hAnsiTheme="majorBidi" w:cstheme="majorBidi"/>
          <w:b/>
          <w:bCs/>
          <w:sz w:val="24"/>
          <w:szCs w:val="24"/>
        </w:rPr>
        <w:t>Procedure</w:t>
      </w:r>
    </w:p>
    <w:p w14:paraId="07E9B49A" w14:textId="77777777" w:rsidR="00CC58A4" w:rsidRPr="00CC58A4" w:rsidRDefault="00CC58A4" w:rsidP="00CC58A4">
      <w:pPr>
        <w:numPr>
          <w:ilvl w:val="0"/>
          <w:numId w:val="1"/>
        </w:numPr>
        <w:autoSpaceDE w:val="0"/>
        <w:autoSpaceDN w:val="0"/>
        <w:adjustRightInd w:val="0"/>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The gDNA samples (~ 20 ng per well) were applied to the optical reaction plate and the reaction mixture was added to the DNA samples in the plate and then the DNAase free water was added in a volume that complete the final reaction volume to 20 µl.</w:t>
      </w:r>
    </w:p>
    <w:p w14:paraId="2BC23C6E" w14:textId="77777777" w:rsidR="00CC58A4" w:rsidRPr="00CC58A4" w:rsidRDefault="00CC58A4" w:rsidP="00CC58A4">
      <w:pPr>
        <w:numPr>
          <w:ilvl w:val="0"/>
          <w:numId w:val="1"/>
        </w:numPr>
        <w:autoSpaceDE w:val="0"/>
        <w:autoSpaceDN w:val="0"/>
        <w:adjustRightInd w:val="0"/>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The plate was mixed thoroughly to avoid stratification of the reagents and/or air bubbles in the well and all the wells were inspected for uniformity of volume and the plate was covered using MicroAmp</w:t>
      </w:r>
      <w:r w:rsidRPr="00CC58A4">
        <w:rPr>
          <w:rFonts w:asciiTheme="majorBidi" w:hAnsiTheme="majorBidi" w:cstheme="majorBidi"/>
          <w:sz w:val="24"/>
          <w:szCs w:val="24"/>
          <w:vertAlign w:val="superscript"/>
        </w:rPr>
        <w:t>®</w:t>
      </w:r>
      <w:r w:rsidRPr="00CC58A4">
        <w:rPr>
          <w:rFonts w:asciiTheme="majorBidi" w:hAnsiTheme="majorBidi" w:cstheme="majorBidi"/>
          <w:sz w:val="24"/>
          <w:szCs w:val="24"/>
        </w:rPr>
        <w:t xml:space="preserve"> Optical Caps then vortexed.</w:t>
      </w:r>
    </w:p>
    <w:p w14:paraId="5595228C" w14:textId="77777777" w:rsidR="00CC58A4" w:rsidRPr="00CC58A4" w:rsidRDefault="00CC58A4" w:rsidP="00CC58A4">
      <w:pPr>
        <w:numPr>
          <w:ilvl w:val="0"/>
          <w:numId w:val="1"/>
        </w:numPr>
        <w:autoSpaceDE w:val="0"/>
        <w:autoSpaceDN w:val="0"/>
        <w:adjustRightInd w:val="0"/>
        <w:spacing w:after="0" w:line="480" w:lineRule="auto"/>
        <w:ind w:hanging="288"/>
        <w:jc w:val="both"/>
        <w:rPr>
          <w:rFonts w:asciiTheme="majorBidi" w:hAnsiTheme="majorBidi" w:cstheme="majorBidi"/>
          <w:sz w:val="24"/>
          <w:szCs w:val="24"/>
        </w:rPr>
      </w:pPr>
      <w:r w:rsidRPr="00CC58A4">
        <w:rPr>
          <w:rFonts w:asciiTheme="majorBidi" w:hAnsiTheme="majorBidi" w:cstheme="majorBidi"/>
          <w:sz w:val="24"/>
          <w:szCs w:val="24"/>
        </w:rPr>
        <w:t xml:space="preserve">The reaction plate was centrifuged to spin down the contents and eliminate any air bubbles and was loaded into the thermal cycler of real-time PCR  (Step One Real-Time PCR, Applied Biosystems, CA, USA) </w:t>
      </w:r>
    </w:p>
    <w:p w14:paraId="7CC7E524" w14:textId="77777777" w:rsidR="00CC58A4" w:rsidRDefault="00CC58A4" w:rsidP="00CC58A4">
      <w:pPr>
        <w:autoSpaceDE w:val="0"/>
        <w:autoSpaceDN w:val="0"/>
        <w:adjustRightInd w:val="0"/>
        <w:spacing w:after="0" w:line="480" w:lineRule="auto"/>
        <w:jc w:val="both"/>
        <w:rPr>
          <w:rFonts w:asciiTheme="majorBidi" w:hAnsiTheme="majorBidi" w:cstheme="majorBidi"/>
          <w:sz w:val="24"/>
          <w:szCs w:val="24"/>
        </w:rPr>
      </w:pPr>
    </w:p>
    <w:p w14:paraId="555B45DA" w14:textId="5E889970" w:rsidR="00CC58A4" w:rsidRPr="00CC58A4" w:rsidRDefault="00CC58A4" w:rsidP="00CC58A4">
      <w:pPr>
        <w:autoSpaceDE w:val="0"/>
        <w:autoSpaceDN w:val="0"/>
        <w:adjustRightInd w:val="0"/>
        <w:spacing w:after="0" w:line="480" w:lineRule="auto"/>
        <w:jc w:val="both"/>
        <w:rPr>
          <w:rFonts w:asciiTheme="majorBidi" w:hAnsiTheme="majorBidi" w:cstheme="majorBidi"/>
          <w:sz w:val="24"/>
          <w:szCs w:val="24"/>
        </w:rPr>
      </w:pPr>
      <w:bookmarkStart w:id="0" w:name="_GoBack"/>
      <w:bookmarkEnd w:id="0"/>
      <w:r w:rsidRPr="00CC58A4">
        <w:rPr>
          <w:rFonts w:asciiTheme="majorBidi" w:hAnsiTheme="majorBidi" w:cstheme="majorBidi"/>
          <w:sz w:val="24"/>
          <w:szCs w:val="24"/>
        </w:rPr>
        <w:t>The thermal cycling conditions were performed as following:</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3307"/>
        <w:gridCol w:w="1814"/>
        <w:gridCol w:w="2390"/>
      </w:tblGrid>
      <w:tr w:rsidR="00CC58A4" w:rsidRPr="00CC58A4" w14:paraId="779368DA" w14:textId="77777777" w:rsidTr="00D902E9">
        <w:trPr>
          <w:trHeight w:val="394"/>
          <w:jc w:val="center"/>
        </w:trPr>
        <w:tc>
          <w:tcPr>
            <w:tcW w:w="959" w:type="pct"/>
            <w:vMerge w:val="restart"/>
            <w:shd w:val="clear" w:color="auto" w:fill="auto"/>
            <w:vAlign w:val="center"/>
          </w:tcPr>
          <w:p w14:paraId="299392BD"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System</w:t>
            </w:r>
          </w:p>
        </w:tc>
        <w:tc>
          <w:tcPr>
            <w:tcW w:w="1779" w:type="pct"/>
            <w:shd w:val="clear" w:color="auto" w:fill="auto"/>
            <w:vAlign w:val="center"/>
          </w:tcPr>
          <w:p w14:paraId="1D712EA2"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Polymerase activation</w:t>
            </w:r>
          </w:p>
        </w:tc>
        <w:tc>
          <w:tcPr>
            <w:tcW w:w="2262" w:type="pct"/>
            <w:gridSpan w:val="2"/>
            <w:shd w:val="clear" w:color="auto" w:fill="auto"/>
            <w:vAlign w:val="center"/>
          </w:tcPr>
          <w:p w14:paraId="1A16CBC1"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PCR</w:t>
            </w:r>
          </w:p>
        </w:tc>
      </w:tr>
      <w:tr w:rsidR="00CC58A4" w:rsidRPr="00CC58A4" w14:paraId="4B6FD44A" w14:textId="77777777" w:rsidTr="00D902E9">
        <w:trPr>
          <w:trHeight w:val="180"/>
          <w:jc w:val="center"/>
        </w:trPr>
        <w:tc>
          <w:tcPr>
            <w:tcW w:w="959" w:type="pct"/>
            <w:vMerge/>
            <w:shd w:val="clear" w:color="auto" w:fill="auto"/>
            <w:vAlign w:val="center"/>
          </w:tcPr>
          <w:p w14:paraId="6D2A66CF" w14:textId="77777777" w:rsidR="00CC58A4" w:rsidRPr="00CC58A4" w:rsidRDefault="00CC58A4" w:rsidP="00CC58A4">
            <w:pPr>
              <w:spacing w:after="40" w:line="480" w:lineRule="auto"/>
              <w:ind w:firstLine="576"/>
              <w:jc w:val="center"/>
              <w:rPr>
                <w:rFonts w:asciiTheme="majorBidi" w:hAnsiTheme="majorBidi" w:cstheme="majorBidi"/>
                <w:sz w:val="24"/>
                <w:szCs w:val="24"/>
              </w:rPr>
            </w:pPr>
          </w:p>
        </w:tc>
        <w:tc>
          <w:tcPr>
            <w:tcW w:w="1779" w:type="pct"/>
            <w:vMerge w:val="restart"/>
            <w:shd w:val="clear" w:color="auto" w:fill="auto"/>
            <w:vAlign w:val="center"/>
          </w:tcPr>
          <w:p w14:paraId="0EB6F788"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Hold</w:t>
            </w:r>
          </w:p>
        </w:tc>
        <w:tc>
          <w:tcPr>
            <w:tcW w:w="2262" w:type="pct"/>
            <w:gridSpan w:val="2"/>
            <w:shd w:val="clear" w:color="auto" w:fill="auto"/>
            <w:vAlign w:val="center"/>
          </w:tcPr>
          <w:p w14:paraId="1C42D847"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Cycle (45 cycles)</w:t>
            </w:r>
          </w:p>
        </w:tc>
      </w:tr>
      <w:tr w:rsidR="00CC58A4" w:rsidRPr="00CC58A4" w14:paraId="28C1E67D" w14:textId="77777777" w:rsidTr="00D902E9">
        <w:trPr>
          <w:trHeight w:val="232"/>
          <w:jc w:val="center"/>
        </w:trPr>
        <w:tc>
          <w:tcPr>
            <w:tcW w:w="959" w:type="pct"/>
            <w:vMerge/>
            <w:shd w:val="clear" w:color="auto" w:fill="auto"/>
            <w:vAlign w:val="center"/>
          </w:tcPr>
          <w:p w14:paraId="1C2FF313" w14:textId="77777777" w:rsidR="00CC58A4" w:rsidRPr="00CC58A4" w:rsidRDefault="00CC58A4" w:rsidP="00CC58A4">
            <w:pPr>
              <w:spacing w:after="40" w:line="480" w:lineRule="auto"/>
              <w:ind w:firstLine="576"/>
              <w:jc w:val="center"/>
              <w:rPr>
                <w:rFonts w:asciiTheme="majorBidi" w:hAnsiTheme="majorBidi" w:cstheme="majorBidi"/>
                <w:sz w:val="24"/>
                <w:szCs w:val="24"/>
              </w:rPr>
            </w:pPr>
          </w:p>
        </w:tc>
        <w:tc>
          <w:tcPr>
            <w:tcW w:w="1779" w:type="pct"/>
            <w:vMerge/>
            <w:shd w:val="clear" w:color="auto" w:fill="auto"/>
            <w:vAlign w:val="center"/>
          </w:tcPr>
          <w:p w14:paraId="768CF1B9" w14:textId="77777777" w:rsidR="00CC58A4" w:rsidRPr="00CC58A4" w:rsidRDefault="00CC58A4" w:rsidP="00CC58A4">
            <w:pPr>
              <w:spacing w:after="40" w:line="480" w:lineRule="auto"/>
              <w:ind w:firstLine="576"/>
              <w:jc w:val="center"/>
              <w:rPr>
                <w:rFonts w:asciiTheme="majorBidi" w:hAnsiTheme="majorBidi" w:cstheme="majorBidi"/>
                <w:sz w:val="24"/>
                <w:szCs w:val="24"/>
              </w:rPr>
            </w:pPr>
          </w:p>
        </w:tc>
        <w:tc>
          <w:tcPr>
            <w:tcW w:w="976" w:type="pct"/>
            <w:shd w:val="clear" w:color="auto" w:fill="auto"/>
            <w:vAlign w:val="center"/>
          </w:tcPr>
          <w:p w14:paraId="18222D89" w14:textId="77777777" w:rsidR="00CC58A4" w:rsidRPr="00CC58A4" w:rsidRDefault="00CC58A4" w:rsidP="00CC58A4">
            <w:pPr>
              <w:spacing w:after="40" w:line="480" w:lineRule="auto"/>
              <w:rPr>
                <w:rFonts w:asciiTheme="majorBidi" w:hAnsiTheme="majorBidi" w:cstheme="majorBidi"/>
                <w:sz w:val="24"/>
                <w:szCs w:val="24"/>
              </w:rPr>
            </w:pPr>
            <w:r w:rsidRPr="00CC58A4">
              <w:rPr>
                <w:rFonts w:asciiTheme="majorBidi" w:hAnsiTheme="majorBidi" w:cstheme="majorBidi"/>
                <w:sz w:val="24"/>
                <w:szCs w:val="24"/>
              </w:rPr>
              <w:t xml:space="preserve">     Denature</w:t>
            </w:r>
          </w:p>
        </w:tc>
        <w:tc>
          <w:tcPr>
            <w:tcW w:w="1286" w:type="pct"/>
            <w:shd w:val="clear" w:color="auto" w:fill="auto"/>
            <w:vAlign w:val="center"/>
          </w:tcPr>
          <w:p w14:paraId="7239A6D3" w14:textId="77777777" w:rsidR="00CC58A4" w:rsidRPr="00CC58A4" w:rsidRDefault="00CC58A4" w:rsidP="00CC58A4">
            <w:pPr>
              <w:spacing w:after="40" w:line="480" w:lineRule="auto"/>
              <w:rPr>
                <w:rFonts w:asciiTheme="majorBidi" w:hAnsiTheme="majorBidi" w:cstheme="majorBidi"/>
                <w:sz w:val="24"/>
                <w:szCs w:val="24"/>
              </w:rPr>
            </w:pPr>
            <w:r w:rsidRPr="00CC58A4">
              <w:rPr>
                <w:rFonts w:asciiTheme="majorBidi" w:hAnsiTheme="majorBidi" w:cstheme="majorBidi"/>
                <w:sz w:val="24"/>
                <w:szCs w:val="24"/>
              </w:rPr>
              <w:t xml:space="preserve">    Anneal/extend</w:t>
            </w:r>
          </w:p>
        </w:tc>
      </w:tr>
      <w:tr w:rsidR="00CC58A4" w:rsidRPr="00CC58A4" w14:paraId="1DFC8772" w14:textId="77777777" w:rsidTr="00D902E9">
        <w:trPr>
          <w:trHeight w:val="371"/>
          <w:jc w:val="center"/>
        </w:trPr>
        <w:tc>
          <w:tcPr>
            <w:tcW w:w="959" w:type="pct"/>
            <w:shd w:val="clear" w:color="auto" w:fill="auto"/>
            <w:vAlign w:val="center"/>
          </w:tcPr>
          <w:p w14:paraId="31B40A60" w14:textId="77777777" w:rsidR="00CC58A4" w:rsidRPr="00CC58A4" w:rsidRDefault="00CC58A4" w:rsidP="00CC58A4">
            <w:pPr>
              <w:spacing w:after="40" w:line="480" w:lineRule="auto"/>
              <w:jc w:val="center"/>
              <w:rPr>
                <w:rFonts w:asciiTheme="majorBidi" w:hAnsiTheme="majorBidi" w:cstheme="majorBidi"/>
                <w:sz w:val="24"/>
                <w:szCs w:val="24"/>
              </w:rPr>
            </w:pPr>
            <w:r w:rsidRPr="00CC58A4">
              <w:rPr>
                <w:rFonts w:asciiTheme="majorBidi" w:hAnsiTheme="majorBidi" w:cstheme="majorBidi"/>
                <w:sz w:val="24"/>
                <w:szCs w:val="24"/>
              </w:rPr>
              <w:t>Temp. (°C)</w:t>
            </w:r>
          </w:p>
        </w:tc>
        <w:tc>
          <w:tcPr>
            <w:tcW w:w="1779" w:type="pct"/>
            <w:shd w:val="clear" w:color="auto" w:fill="auto"/>
            <w:vAlign w:val="center"/>
          </w:tcPr>
          <w:p w14:paraId="62FECADB"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95</w:t>
            </w:r>
          </w:p>
        </w:tc>
        <w:tc>
          <w:tcPr>
            <w:tcW w:w="976" w:type="pct"/>
            <w:shd w:val="clear" w:color="auto" w:fill="auto"/>
            <w:vAlign w:val="center"/>
          </w:tcPr>
          <w:p w14:paraId="63B9266C"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95</w:t>
            </w:r>
          </w:p>
        </w:tc>
        <w:tc>
          <w:tcPr>
            <w:tcW w:w="1286" w:type="pct"/>
            <w:shd w:val="clear" w:color="auto" w:fill="auto"/>
            <w:vAlign w:val="center"/>
          </w:tcPr>
          <w:p w14:paraId="5103E888"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60</w:t>
            </w:r>
          </w:p>
        </w:tc>
      </w:tr>
      <w:tr w:rsidR="00CC58A4" w:rsidRPr="00CC58A4" w14:paraId="08FAC6FC" w14:textId="77777777" w:rsidTr="00D902E9">
        <w:trPr>
          <w:trHeight w:val="215"/>
          <w:jc w:val="center"/>
        </w:trPr>
        <w:tc>
          <w:tcPr>
            <w:tcW w:w="959" w:type="pct"/>
            <w:shd w:val="clear" w:color="auto" w:fill="auto"/>
            <w:vAlign w:val="center"/>
          </w:tcPr>
          <w:p w14:paraId="7BE4D250" w14:textId="77777777" w:rsidR="00CC58A4" w:rsidRPr="00CC58A4" w:rsidRDefault="00CC58A4" w:rsidP="00CC58A4">
            <w:pPr>
              <w:spacing w:after="40" w:line="480" w:lineRule="auto"/>
              <w:jc w:val="center"/>
              <w:rPr>
                <w:rFonts w:asciiTheme="majorBidi" w:hAnsiTheme="majorBidi" w:cstheme="majorBidi"/>
                <w:sz w:val="24"/>
                <w:szCs w:val="24"/>
              </w:rPr>
            </w:pPr>
            <w:r w:rsidRPr="00CC58A4">
              <w:rPr>
                <w:rFonts w:asciiTheme="majorBidi" w:hAnsiTheme="majorBidi" w:cstheme="majorBidi"/>
                <w:sz w:val="24"/>
                <w:szCs w:val="24"/>
              </w:rPr>
              <w:t>Time (mm:ss)</w:t>
            </w:r>
          </w:p>
        </w:tc>
        <w:tc>
          <w:tcPr>
            <w:tcW w:w="1779" w:type="pct"/>
            <w:shd w:val="clear" w:color="auto" w:fill="auto"/>
            <w:vAlign w:val="center"/>
          </w:tcPr>
          <w:p w14:paraId="14654638"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10:00</w:t>
            </w:r>
          </w:p>
        </w:tc>
        <w:tc>
          <w:tcPr>
            <w:tcW w:w="976" w:type="pct"/>
            <w:shd w:val="clear" w:color="auto" w:fill="auto"/>
            <w:vAlign w:val="center"/>
          </w:tcPr>
          <w:p w14:paraId="0C438F44"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00:15</w:t>
            </w:r>
          </w:p>
        </w:tc>
        <w:tc>
          <w:tcPr>
            <w:tcW w:w="1286" w:type="pct"/>
            <w:shd w:val="clear" w:color="auto" w:fill="auto"/>
            <w:vAlign w:val="center"/>
          </w:tcPr>
          <w:p w14:paraId="16DBCAAB" w14:textId="77777777" w:rsidR="00CC58A4" w:rsidRPr="00CC58A4" w:rsidRDefault="00CC58A4" w:rsidP="00CC58A4">
            <w:pPr>
              <w:spacing w:after="40" w:line="480" w:lineRule="auto"/>
              <w:ind w:firstLine="576"/>
              <w:jc w:val="center"/>
              <w:rPr>
                <w:rFonts w:asciiTheme="majorBidi" w:hAnsiTheme="majorBidi" w:cstheme="majorBidi"/>
                <w:sz w:val="24"/>
                <w:szCs w:val="24"/>
              </w:rPr>
            </w:pPr>
            <w:r w:rsidRPr="00CC58A4">
              <w:rPr>
                <w:rFonts w:asciiTheme="majorBidi" w:hAnsiTheme="majorBidi" w:cstheme="majorBidi"/>
                <w:sz w:val="24"/>
                <w:szCs w:val="24"/>
              </w:rPr>
              <w:t>1:00</w:t>
            </w:r>
          </w:p>
        </w:tc>
      </w:tr>
    </w:tbl>
    <w:p w14:paraId="17B06241" w14:textId="77777777" w:rsidR="00CC58A4" w:rsidRPr="00CC58A4" w:rsidRDefault="00CC58A4" w:rsidP="00CC58A4">
      <w:pPr>
        <w:autoSpaceDE w:val="0"/>
        <w:autoSpaceDN w:val="0"/>
        <w:adjustRightInd w:val="0"/>
        <w:spacing w:before="240" w:line="480" w:lineRule="auto"/>
        <w:jc w:val="both"/>
        <w:rPr>
          <w:rFonts w:asciiTheme="majorBidi" w:hAnsiTheme="majorBidi" w:cstheme="majorBidi"/>
          <w:sz w:val="24"/>
          <w:szCs w:val="24"/>
        </w:rPr>
      </w:pPr>
      <w:r w:rsidRPr="00CC58A4">
        <w:rPr>
          <w:rFonts w:asciiTheme="majorBidi" w:hAnsiTheme="majorBidi" w:cstheme="majorBidi"/>
          <w:sz w:val="24"/>
          <w:szCs w:val="24"/>
        </w:rPr>
        <w:t>The system software records the results of the genotyping run on a scatter plot of Allele 1 versus Allele 2 for each SNP.</w:t>
      </w:r>
    </w:p>
    <w:sectPr w:rsidR="00CC58A4" w:rsidRPr="00CC5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1E24"/>
    <w:multiLevelType w:val="hybridMultilevel"/>
    <w:tmpl w:val="36F6D100"/>
    <w:lvl w:ilvl="0" w:tplc="790E6F50">
      <w:start w:val="1"/>
      <w:numFmt w:val="decimal"/>
      <w:lvlText w:val="%1)"/>
      <w:lvlJc w:val="left"/>
      <w:pPr>
        <w:tabs>
          <w:tab w:val="num" w:pos="720"/>
        </w:tabs>
        <w:ind w:left="720" w:hanging="360"/>
      </w:pPr>
      <w:rPr>
        <w:rFonts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4121EB"/>
    <w:multiLevelType w:val="hybridMultilevel"/>
    <w:tmpl w:val="D932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76BF7"/>
    <w:multiLevelType w:val="hybridMultilevel"/>
    <w:tmpl w:val="7BB676C6"/>
    <w:lvl w:ilvl="0" w:tplc="70643E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63"/>
    <w:rsid w:val="00045106"/>
    <w:rsid w:val="003D425B"/>
    <w:rsid w:val="005E0C63"/>
    <w:rsid w:val="00713362"/>
    <w:rsid w:val="00871EEE"/>
    <w:rsid w:val="0090635A"/>
    <w:rsid w:val="00CC58A4"/>
    <w:rsid w:val="00FE0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8EC8"/>
  <w15:chartTrackingRefBased/>
  <w15:docId w15:val="{8C019109-B679-49B4-B70E-1EA6E3A9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0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58A4"/>
    <w:rPr>
      <w:rFonts w:ascii="Times-Bold" w:hAnsi="Times-Bold" w:hint="default"/>
      <w:b/>
      <w:bCs/>
      <w:i w:val="0"/>
      <w:iCs w:val="0"/>
      <w:color w:val="000000"/>
      <w:sz w:val="28"/>
      <w:szCs w:val="28"/>
    </w:rPr>
  </w:style>
  <w:style w:type="character" w:customStyle="1" w:styleId="acopre">
    <w:name w:val="acopre"/>
    <w:basedOn w:val="DefaultParagraphFont"/>
    <w:rsid w:val="003D425B"/>
  </w:style>
  <w:style w:type="character" w:styleId="Emphasis">
    <w:name w:val="Emphasis"/>
    <w:basedOn w:val="DefaultParagraphFont"/>
    <w:uiPriority w:val="20"/>
    <w:qFormat/>
    <w:rsid w:val="003D4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rmofisher.com/order/genome-database/details/genotyping/C__31148020_10?CID=&amp;ICID=&amp;subtype=" TargetMode="External"/><Relationship Id="rId5" Type="http://schemas.openxmlformats.org/officeDocument/2006/relationships/hyperlink" Target="https://www.thermofisher.com/order/genome-database/details/genotyping/C__11597746_10?CID=&amp;ICID=&amp;subty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Gamil</dc:creator>
  <cp:keywords/>
  <dc:description/>
  <cp:lastModifiedBy>Emad Gamil</cp:lastModifiedBy>
  <cp:revision>5</cp:revision>
  <dcterms:created xsi:type="dcterms:W3CDTF">2020-11-18T18:29:00Z</dcterms:created>
  <dcterms:modified xsi:type="dcterms:W3CDTF">2020-11-21T23:29:00Z</dcterms:modified>
</cp:coreProperties>
</file>