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58" w:rsidRDefault="00246AAF" w:rsidP="007C3113">
      <w:pPr>
        <w:jc w:val="center"/>
        <w:rPr>
          <w:szCs w:val="13"/>
        </w:rPr>
      </w:pPr>
      <w:r>
        <w:rPr>
          <w:noProof/>
          <w:szCs w:val="1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5.2pt;margin-top:96.35pt;width:21pt;height:22.2pt;flip:y;z-index:251659264" o:connectortype="straight" strokecolor="red" strokeweight="1.5pt">
            <v:stroke endarrow="block"/>
          </v:shape>
        </w:pict>
      </w:r>
      <w:r>
        <w:rPr>
          <w:noProof/>
          <w:szCs w:val="13"/>
        </w:rPr>
        <w:pict>
          <v:shape id="_x0000_s1026" type="#_x0000_t32" style="position:absolute;left:0;text-align:left;margin-left:222.45pt;margin-top:14.85pt;width:0;height:34.2pt;z-index:251658240" o:connectortype="straight" strokecolor="red" strokeweight="1.5pt">
            <v:stroke endarrow="block"/>
          </v:shape>
        </w:pict>
      </w:r>
      <w:r w:rsidR="007C3113">
        <w:rPr>
          <w:noProof/>
          <w:szCs w:val="13"/>
        </w:rPr>
        <w:drawing>
          <wp:inline distT="0" distB="0" distL="0" distR="0">
            <wp:extent cx="2881741" cy="2160000"/>
            <wp:effectExtent l="19050" t="0" r="0" b="0"/>
            <wp:docPr id="1" name="图片 0" descr="血吸虫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血吸虫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74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60B" w:rsidRPr="00705BA2" w:rsidRDefault="00705BA2" w:rsidP="007C3113">
      <w:pPr>
        <w:widowControl w:val="0"/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b/>
          <w:color w:val="000000"/>
        </w:rPr>
        <w:t xml:space="preserve">Sup </w:t>
      </w:r>
      <w:r>
        <w:rPr>
          <w:rFonts w:ascii="Times New Roman" w:hAnsi="Times New Roman" w:cs="Times New Roman"/>
          <w:b/>
          <w:color w:val="000000"/>
        </w:rPr>
        <w:t>Fig</w:t>
      </w:r>
      <w:r>
        <w:rPr>
          <w:rFonts w:ascii="Times New Roman" w:hAnsi="Times New Roman" w:cs="Times New Roman" w:hint="eastAsia"/>
          <w:b/>
          <w:color w:val="000000"/>
        </w:rPr>
        <w:t>.1</w:t>
      </w:r>
      <w:r w:rsidRPr="00E915FC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 w:hint="eastAsia"/>
          <w:b/>
          <w:color w:val="000000"/>
        </w:rPr>
        <w:t xml:space="preserve"> </w:t>
      </w:r>
      <w:r w:rsidRPr="00E915FC">
        <w:rPr>
          <w:rFonts w:ascii="Times New Roman" w:hAnsi="Times New Roman" w:cs="Times New Roman"/>
          <w:color w:val="000000"/>
        </w:rPr>
        <w:t>Typical sample of schistosomiasis-associated colorectal cancer, the red arrows indicate schistosome ova (HE, ×100)</w:t>
      </w:r>
    </w:p>
    <w:p w:rsidR="007C3113" w:rsidRDefault="009B1347" w:rsidP="0005560B">
      <w:pPr>
        <w:rPr>
          <w:szCs w:val="13"/>
        </w:rPr>
      </w:pPr>
      <w:r>
        <w:rPr>
          <w:noProof/>
          <w:szCs w:val="13"/>
        </w:rPr>
        <w:drawing>
          <wp:inline distT="0" distB="0" distL="0" distR="0">
            <wp:extent cx="1548001" cy="1548000"/>
            <wp:effectExtent l="19050" t="0" r="0" b="0"/>
            <wp:docPr id="2" name="图片 8" descr="CD8 density _SurvivalMiller-Seigmund 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8 density _SurvivalMiller-Seigmund P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8001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13"/>
        </w:rPr>
        <w:t xml:space="preserve">  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548000" cy="1548000"/>
            <wp:effectExtent l="19050" t="0" r="0" b="0"/>
            <wp:docPr id="5" name="图片 5" descr="CD8 density _Survival_Histogr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8 density _Survival_Histogram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578">
        <w:rPr>
          <w:rFonts w:hint="eastAsia"/>
          <w:szCs w:val="13"/>
        </w:rPr>
        <w:t xml:space="preserve">  </w:t>
      </w:r>
      <w:r>
        <w:rPr>
          <w:rFonts w:hint="eastAsia"/>
          <w:szCs w:val="13"/>
        </w:rPr>
        <w:t xml:space="preserve"> </w:t>
      </w:r>
      <w:r>
        <w:rPr>
          <w:noProof/>
          <w:szCs w:val="13"/>
        </w:rPr>
        <w:drawing>
          <wp:inline distT="0" distB="0" distL="0" distR="0">
            <wp:extent cx="1543117" cy="1548000"/>
            <wp:effectExtent l="19050" t="0" r="0" b="0"/>
            <wp:docPr id="3" name="图片 7" descr="CD8 density _Survival_KaplanMei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8 density _Survival_KaplanMeier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117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347" w:rsidRPr="009B1347" w:rsidRDefault="00F90676" w:rsidP="009B134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Times New Roman" w:eastAsia="楷体" w:hAnsi="Times New Roman" w:cs="Times New Roman"/>
        </w:rPr>
      </w:pPr>
      <w:r>
        <w:rPr>
          <w:rFonts w:ascii="Times New Roman" w:hAnsi="Times New Roman" w:cs="Times New Roman" w:hint="eastAsia"/>
          <w:b/>
          <w:color w:val="000000"/>
        </w:rPr>
        <w:t xml:space="preserve">Sup </w:t>
      </w:r>
      <w:r w:rsidRPr="00E915FC">
        <w:rPr>
          <w:rFonts w:ascii="Times New Roman" w:hAnsi="Times New Roman" w:cs="Times New Roman"/>
          <w:b/>
          <w:color w:val="000000"/>
        </w:rPr>
        <w:t>Fig</w:t>
      </w:r>
      <w:r>
        <w:rPr>
          <w:rFonts w:ascii="Times New Roman" w:hAnsi="Times New Roman" w:cs="Times New Roman" w:hint="eastAsia"/>
          <w:b/>
          <w:color w:val="000000"/>
        </w:rPr>
        <w:t>. 2</w:t>
      </w:r>
      <w:r w:rsidRPr="00E915FC">
        <w:rPr>
          <w:rFonts w:ascii="Times New Roman" w:hAnsi="Times New Roman" w:cs="Times New Roman"/>
          <w:b/>
          <w:color w:val="000000"/>
        </w:rPr>
        <w:t xml:space="preserve">. </w:t>
      </w:r>
      <w:r w:rsidR="009B1347" w:rsidRPr="009B1347">
        <w:rPr>
          <w:rFonts w:ascii="Times New Roman" w:eastAsia="楷体" w:hAnsi="Times New Roman" w:cs="Times New Roman"/>
        </w:rPr>
        <w:t xml:space="preserve">Determination of cut-off values of </w:t>
      </w:r>
      <w:r>
        <w:rPr>
          <w:rFonts w:ascii="Times New Roman" w:eastAsia="楷体" w:hAnsi="Times New Roman" w:cs="Times New Roman" w:hint="eastAsia"/>
        </w:rPr>
        <w:t>CD8 density</w:t>
      </w:r>
      <w:r w:rsidR="009B1347" w:rsidRPr="009B1347">
        <w:rPr>
          <w:rFonts w:ascii="Times New Roman" w:eastAsia="楷体" w:hAnsi="Times New Roman" w:cs="Times New Roman"/>
        </w:rPr>
        <w:t xml:space="preserve"> </w:t>
      </w:r>
      <w:r>
        <w:rPr>
          <w:rFonts w:ascii="Times New Roman" w:eastAsia="楷体" w:hAnsi="Times New Roman" w:cs="Times New Roman" w:hint="eastAsia"/>
        </w:rPr>
        <w:t xml:space="preserve">of TMAs </w:t>
      </w:r>
      <w:r w:rsidR="009B1347" w:rsidRPr="009B1347">
        <w:rPr>
          <w:rFonts w:ascii="Times New Roman" w:eastAsia="楷体" w:hAnsi="Times New Roman" w:cs="Times New Roman"/>
        </w:rPr>
        <w:t xml:space="preserve">and survival analyses. X-tile analysis of OS was performed using patients’ </w:t>
      </w:r>
      <w:r w:rsidR="009B1347">
        <w:rPr>
          <w:rFonts w:ascii="Times New Roman" w:eastAsia="楷体" w:hAnsi="Times New Roman" w:cs="Times New Roman"/>
        </w:rPr>
        <w:t>data</w:t>
      </w:r>
      <w:r>
        <w:rPr>
          <w:rFonts w:ascii="Times New Roman" w:eastAsia="楷体" w:hAnsi="Times New Roman" w:cs="Times New Roman" w:hint="eastAsia"/>
        </w:rPr>
        <w:t xml:space="preserve"> collected from </w:t>
      </w:r>
      <w:r>
        <w:rPr>
          <w:rFonts w:ascii="Times New Roman" w:hAnsi="Times New Roman" w:cs="Times New Roman" w:hint="eastAsia"/>
        </w:rPr>
        <w:t>the p</w:t>
      </w:r>
      <w:r w:rsidRPr="00935268">
        <w:rPr>
          <w:rFonts w:ascii="Times New Roman" w:hAnsi="Times New Roman" w:cs="Times New Roman"/>
        </w:rPr>
        <w:t>athological system</w:t>
      </w:r>
      <w:r>
        <w:rPr>
          <w:rFonts w:ascii="Times New Roman" w:hAnsi="Times New Roman" w:cs="Times New Roman" w:hint="eastAsia"/>
        </w:rPr>
        <w:t xml:space="preserve"> and </w:t>
      </w:r>
      <w:r w:rsidRPr="0004740A">
        <w:rPr>
          <w:rFonts w:ascii="Times New Roman" w:hAnsi="Times New Roman" w:cs="Times New Roman" w:hint="eastAsia"/>
          <w:bCs/>
        </w:rPr>
        <w:t xml:space="preserve">Qingpu District </w:t>
      </w:r>
      <w:r w:rsidRPr="0004740A">
        <w:rPr>
          <w:rFonts w:ascii="Times New Roman" w:hAnsi="Times New Roman" w:cs="Times New Roman"/>
          <w:bCs/>
        </w:rPr>
        <w:t>Center for Disease Control and Prevention</w:t>
      </w:r>
      <w:r w:rsidR="009B1347" w:rsidRPr="009B1347">
        <w:rPr>
          <w:rFonts w:ascii="Times New Roman" w:eastAsia="楷体" w:hAnsi="Times New Roman" w:cs="Times New Roman"/>
        </w:rPr>
        <w:t xml:space="preserve"> to determine the optimal c</w:t>
      </w:r>
      <w:r w:rsidR="009B1347">
        <w:rPr>
          <w:rFonts w:ascii="Times New Roman" w:eastAsia="楷体" w:hAnsi="Times New Roman" w:cs="Times New Roman"/>
        </w:rPr>
        <w:t xml:space="preserve">ut-off value for </w:t>
      </w:r>
      <w:r w:rsidR="000C610F">
        <w:rPr>
          <w:rFonts w:ascii="Times New Roman" w:eastAsia="楷体" w:hAnsi="Times New Roman" w:cs="Times New Roman" w:hint="eastAsia"/>
        </w:rPr>
        <w:t>CD8 density</w:t>
      </w:r>
      <w:r w:rsidR="009B1347" w:rsidRPr="009B1347">
        <w:rPr>
          <w:rFonts w:ascii="Times New Roman" w:eastAsia="楷体" w:hAnsi="Times New Roman" w:cs="Times New Roman"/>
        </w:rPr>
        <w:t>. The optimal cut-off values highlighted by the black circles in left panels are shown in histograms of the entire cohort (middle panels), and Kaplan-Meier</w:t>
      </w:r>
      <w:r w:rsidR="009B1347">
        <w:rPr>
          <w:rFonts w:ascii="Times New Roman" w:eastAsia="楷体" w:hAnsi="Times New Roman" w:cs="Times New Roman" w:hint="eastAsia"/>
        </w:rPr>
        <w:t xml:space="preserve"> </w:t>
      </w:r>
      <w:r w:rsidR="009B1347" w:rsidRPr="009B1347">
        <w:rPr>
          <w:rFonts w:ascii="Times New Roman" w:eastAsia="楷体" w:hAnsi="Times New Roman" w:cs="Times New Roman"/>
        </w:rPr>
        <w:t>plots are displayed in right panels. P values were determined by using the cut-off values defined in training sets and applying them to validation sets.</w:t>
      </w:r>
      <w:r w:rsidR="009B1347">
        <w:rPr>
          <w:rFonts w:ascii="Times New Roman" w:eastAsia="楷体" w:hAnsi="Times New Roman" w:cs="Times New Roman" w:hint="eastAsia"/>
        </w:rPr>
        <w:t xml:space="preserve"> </w:t>
      </w:r>
      <w:r w:rsidR="009B1347" w:rsidRPr="009B1347">
        <w:rPr>
          <w:rFonts w:ascii="Times New Roman" w:eastAsia="楷体" w:hAnsi="Times New Roman" w:cs="Times New Roman"/>
        </w:rPr>
        <w:t xml:space="preserve">The optimal cut-off value for </w:t>
      </w:r>
      <w:r w:rsidR="006F28AB">
        <w:rPr>
          <w:rFonts w:ascii="Times New Roman" w:eastAsia="楷体" w:hAnsi="Times New Roman" w:cs="Times New Roman" w:hint="eastAsia"/>
        </w:rPr>
        <w:t>CD8 density</w:t>
      </w:r>
      <w:r w:rsidR="009B1347" w:rsidRPr="009B1347">
        <w:rPr>
          <w:rFonts w:ascii="Times New Roman" w:eastAsia="楷体" w:hAnsi="Times New Roman" w:cs="Times New Roman"/>
        </w:rPr>
        <w:t xml:space="preserve"> was </w:t>
      </w:r>
      <w:r w:rsidR="006F28AB">
        <w:rPr>
          <w:rFonts w:ascii="Times New Roman" w:eastAsia="楷体" w:hAnsi="Times New Roman" w:cs="Times New Roman" w:hint="eastAsia"/>
        </w:rPr>
        <w:t>279</w:t>
      </w:r>
      <w:r w:rsidR="006F28AB">
        <w:rPr>
          <w:rFonts w:ascii="Times New Roman" w:eastAsia="楷体" w:hAnsi="Times New Roman" w:cs="Times New Roman"/>
        </w:rPr>
        <w:t>.4</w:t>
      </w:r>
      <w:r w:rsidR="009B1347" w:rsidRPr="009B1347">
        <w:rPr>
          <w:rFonts w:ascii="Times New Roman" w:eastAsia="楷体" w:hAnsi="Times New Roman" w:cs="Times New Roman"/>
        </w:rPr>
        <w:t xml:space="preserve"> (χ2 = </w:t>
      </w:r>
      <w:r w:rsidR="006F28AB">
        <w:rPr>
          <w:rFonts w:ascii="Times New Roman" w:eastAsia="楷体" w:hAnsi="Times New Roman" w:cs="Times New Roman" w:hint="eastAsia"/>
        </w:rPr>
        <w:t>15</w:t>
      </w:r>
      <w:r w:rsidR="009B1347" w:rsidRPr="009B1347">
        <w:rPr>
          <w:rFonts w:ascii="Times New Roman" w:eastAsia="楷体" w:hAnsi="Times New Roman" w:cs="Times New Roman"/>
        </w:rPr>
        <w:t>.5</w:t>
      </w:r>
      <w:r w:rsidR="006F28AB">
        <w:rPr>
          <w:rFonts w:ascii="Times New Roman" w:eastAsia="楷体" w:hAnsi="Times New Roman" w:cs="Times New Roman" w:hint="eastAsia"/>
        </w:rPr>
        <w:t>38</w:t>
      </w:r>
      <w:r w:rsidR="009B1347" w:rsidRPr="009B1347">
        <w:rPr>
          <w:rFonts w:ascii="Times New Roman" w:eastAsia="楷体" w:hAnsi="Times New Roman" w:cs="Times New Roman"/>
        </w:rPr>
        <w:t>, P = 0.0</w:t>
      </w:r>
      <w:r w:rsidR="006F28AB">
        <w:rPr>
          <w:rFonts w:ascii="Times New Roman" w:eastAsia="楷体" w:hAnsi="Times New Roman" w:cs="Times New Roman" w:hint="eastAsia"/>
        </w:rPr>
        <w:t>029</w:t>
      </w:r>
      <w:r w:rsidR="009B1347" w:rsidRPr="009B1347">
        <w:rPr>
          <w:rFonts w:ascii="Times New Roman" w:eastAsia="楷体" w:hAnsi="Times New Roman" w:cs="Times New Roman"/>
        </w:rPr>
        <w:t>)</w:t>
      </w:r>
      <w:r w:rsidR="006F28AB">
        <w:rPr>
          <w:rFonts w:ascii="Times New Roman" w:eastAsia="楷体" w:hAnsi="Times New Roman" w:cs="Times New Roman" w:hint="eastAsia"/>
        </w:rPr>
        <w:t>.</w:t>
      </w:r>
    </w:p>
    <w:p w:rsidR="0005560B" w:rsidRDefault="0005560B" w:rsidP="007C3113">
      <w:pPr>
        <w:jc w:val="center"/>
        <w:rPr>
          <w:szCs w:val="13"/>
        </w:rPr>
      </w:pPr>
    </w:p>
    <w:p w:rsidR="00F9348A" w:rsidRDefault="00F9348A">
      <w:pPr>
        <w:rPr>
          <w:szCs w:val="13"/>
        </w:rPr>
      </w:pPr>
      <w:r>
        <w:rPr>
          <w:szCs w:val="13"/>
        </w:rPr>
        <w:br w:type="page"/>
      </w:r>
    </w:p>
    <w:tbl>
      <w:tblPr>
        <w:tblpPr w:leftFromText="180" w:rightFromText="180" w:vertAnchor="page" w:horzAnchor="page" w:tblpXSpec="center" w:tblpY="1714"/>
        <w:tblW w:w="5000" w:type="pct"/>
        <w:tblLook w:val="04A0"/>
      </w:tblPr>
      <w:tblGrid>
        <w:gridCol w:w="1732"/>
        <w:gridCol w:w="574"/>
        <w:gridCol w:w="1043"/>
        <w:gridCol w:w="1863"/>
        <w:gridCol w:w="444"/>
        <w:gridCol w:w="1026"/>
        <w:gridCol w:w="1840"/>
      </w:tblGrid>
      <w:tr w:rsidR="00F9348A" w:rsidRPr="00F9348A" w:rsidTr="00F9348A">
        <w:trPr>
          <w:cantSplit/>
          <w:trHeight w:val="28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/>
                <w:sz w:val="18"/>
                <w:szCs w:val="13"/>
              </w:rPr>
              <w:lastRenderedPageBreak/>
              <w:t xml:space="preserve">Supplementary </w:t>
            </w:r>
            <w:r w:rsidRPr="00F9348A"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  <w:t xml:space="preserve">Table </w:t>
            </w:r>
            <w:r w:rsidRPr="00F9348A">
              <w:rPr>
                <w:rFonts w:ascii="Times New Roman" w:eastAsia="等线" w:hAnsi="Times New Roman" w:cs="Times New Roman" w:hint="eastAsia"/>
                <w:color w:val="000000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  <w:t>. Univariate and multivariate analysis for overall survival in CRC-S</w:t>
            </w:r>
            <w:r w:rsidRPr="00F9348A">
              <w:rPr>
                <w:rFonts w:ascii="Times New Roman" w:eastAsia="等线" w:hAnsi="Times New Roman" w:cs="Times New Roman" w:hint="eastAsia"/>
                <w:color w:val="000000"/>
                <w:sz w:val="18"/>
                <w:szCs w:val="13"/>
              </w:rPr>
              <w:t xml:space="preserve"> setand</w:t>
            </w:r>
            <w:r w:rsidRPr="00F9348A"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  <w:t xml:space="preserve"> CRC-NS </w:t>
            </w:r>
            <w:r w:rsidRPr="00F9348A">
              <w:rPr>
                <w:rFonts w:ascii="Times New Roman" w:eastAsia="等线" w:hAnsi="Times New Roman" w:cs="Times New Roman" w:hint="eastAsia"/>
                <w:color w:val="000000"/>
                <w:sz w:val="18"/>
                <w:szCs w:val="13"/>
              </w:rPr>
              <w:t>set</w:t>
            </w:r>
          </w:p>
        </w:tc>
      </w:tr>
      <w:tr w:rsidR="00F9348A" w:rsidRPr="00F9348A" w:rsidTr="00F9348A">
        <w:trPr>
          <w:cantSplit/>
          <w:trHeight w:val="285"/>
        </w:trPr>
        <w:tc>
          <w:tcPr>
            <w:tcW w:w="1041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  <w:bookmarkStart w:id="0" w:name="_Hlk23097791"/>
            <w:r w:rsidRPr="00F9348A"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  <w:t>Variable</w:t>
            </w:r>
            <w:r w:rsidRPr="00F9348A">
              <w:rPr>
                <w:rFonts w:ascii="Times New Roman" w:eastAsia="等线" w:hAnsi="Times New Roman" w:cs="Times New Roman" w:hint="eastAsia"/>
                <w:color w:val="000000"/>
                <w:sz w:val="18"/>
                <w:szCs w:val="13"/>
              </w:rPr>
              <w:t>s</w:t>
            </w:r>
          </w:p>
        </w:tc>
        <w:tc>
          <w:tcPr>
            <w:tcW w:w="305" w:type="pct"/>
            <w:tcBorders>
              <w:top w:val="single" w:sz="12" w:space="0" w:color="auto"/>
            </w:tcBorders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</w:p>
        </w:tc>
        <w:tc>
          <w:tcPr>
            <w:tcW w:w="1727" w:type="pct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/>
                <w:sz w:val="18"/>
                <w:szCs w:val="13"/>
              </w:rPr>
              <w:t xml:space="preserve">CRC-S set </w:t>
            </w:r>
          </w:p>
        </w:tc>
        <w:tc>
          <w:tcPr>
            <w:tcW w:w="223" w:type="pct"/>
            <w:tcBorders>
              <w:top w:val="single" w:sz="12" w:space="0" w:color="auto"/>
            </w:tcBorders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</w:p>
        </w:tc>
        <w:tc>
          <w:tcPr>
            <w:tcW w:w="1704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/>
                <w:sz w:val="18"/>
                <w:szCs w:val="13"/>
              </w:rPr>
              <w:t xml:space="preserve">CRC-NS set </w:t>
            </w:r>
          </w:p>
        </w:tc>
      </w:tr>
      <w:tr w:rsidR="00F9348A" w:rsidRPr="00F9348A" w:rsidTr="00F9348A">
        <w:trPr>
          <w:cantSplit/>
          <w:trHeight w:val="195"/>
        </w:trPr>
        <w:tc>
          <w:tcPr>
            <w:tcW w:w="1041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</w:p>
        </w:tc>
        <w:tc>
          <w:tcPr>
            <w:tcW w:w="305" w:type="pct"/>
            <w:tcBorders>
              <w:bottom w:val="single" w:sz="12" w:space="0" w:color="auto"/>
            </w:tcBorders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</w:p>
        </w:tc>
        <w:tc>
          <w:tcPr>
            <w:tcW w:w="603" w:type="pct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  <w:t>P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  <w:t>HR(95%CI)</w:t>
            </w:r>
          </w:p>
        </w:tc>
        <w:tc>
          <w:tcPr>
            <w:tcW w:w="223" w:type="pct"/>
            <w:tcBorders>
              <w:bottom w:val="single" w:sz="12" w:space="0" w:color="auto"/>
            </w:tcBorders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  <w:t>P</w:t>
            </w:r>
          </w:p>
        </w:tc>
        <w:tc>
          <w:tcPr>
            <w:tcW w:w="1111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  <w:t>HR(95%CI)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righ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b/>
                <w:color w:val="000000"/>
                <w:sz w:val="18"/>
                <w:szCs w:val="13"/>
              </w:rPr>
              <w:t>Univariate analysis</w:t>
            </w:r>
          </w:p>
        </w:tc>
        <w:tc>
          <w:tcPr>
            <w:tcW w:w="305" w:type="pct"/>
            <w:tcBorders>
              <w:top w:val="single" w:sz="12" w:space="0" w:color="auto"/>
            </w:tcBorders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</w:pP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Age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 xml:space="preserve"> (</w:t>
            </w:r>
            <w:r w:rsidRPr="00F9348A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3"/>
              </w:rPr>
              <w:t>＜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60ys)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tcBorders>
              <w:left w:val="nil"/>
            </w:tcBorders>
            <w:shd w:val="clear" w:color="auto" w:fill="auto"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232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827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139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3436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270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122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454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905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336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Gender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 xml:space="preserve"> (male)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307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1.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311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779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207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017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1.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780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110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853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Tum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or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 xml:space="preserve"> s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ize(5cm)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320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282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786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089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591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886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569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378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Tumor si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te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right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Rectum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Refer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Refer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right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Left colon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0.484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1.263(0.657-2.427)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0.672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 xml:space="preserve"> 0.889 (0.515-1.534)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right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Right colon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0.130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 xml:space="preserve"> 1.631 (0.865-3.076)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0.054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 xml:space="preserve"> 0.590 (0.344-1.010)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P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athological T stage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087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851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915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747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＜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0.001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363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620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6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980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</w:tr>
      <w:tr w:rsidR="00F9348A" w:rsidRPr="00F9348A" w:rsidTr="00F9348A">
        <w:trPr>
          <w:cantSplit/>
          <w:trHeight w:val="57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Lymph node metastasis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＜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0.001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552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 xml:space="preserve"> 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141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5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894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＜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0.001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447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 xml:space="preserve"> 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573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807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TNM stage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＜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0.001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4.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219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497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128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＜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0.001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764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259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206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Differentiation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054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1.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668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991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-2.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809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003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009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991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-2.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809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 xml:space="preserve">Vessel 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invasion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275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321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 xml:space="preserve"> 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801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180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＜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0.001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816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 xml:space="preserve"> 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808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4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385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Nerve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 xml:space="preserve"> invasion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206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727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 xml:space="preserve"> 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741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4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024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319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424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 xml:space="preserve"> 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710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857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Lymph nodes positive for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 xml:space="preserve"> 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CRC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＜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0.001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4.138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205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769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＜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0.001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3.973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359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6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692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C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olonic perforation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0.500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0.506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070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657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0.763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1.194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377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786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Tumor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 xml:space="preserve"> budding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318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1.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311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771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229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＜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0.001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411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453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999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</w:tr>
      <w:tr w:rsidR="00F9348A" w:rsidRPr="00F9348A" w:rsidTr="00F9348A">
        <w:trPr>
          <w:cantSplit/>
          <w:trHeight w:val="269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i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i/>
                <w:color w:val="000000" w:themeColor="text1"/>
                <w:sz w:val="18"/>
                <w:szCs w:val="13"/>
              </w:rPr>
              <w:t>Schistosomiasis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474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1.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225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703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-2.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132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—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—</w:t>
            </w:r>
          </w:p>
        </w:tc>
      </w:tr>
      <w:tr w:rsidR="00F9348A" w:rsidRPr="00F9348A" w:rsidTr="00F9348A">
        <w:trPr>
          <w:cantSplit/>
          <w:trHeight w:val="269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Ulceration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212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725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437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201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744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077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691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676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</w:tr>
      <w:tr w:rsidR="00F9348A" w:rsidRPr="00F9348A" w:rsidTr="00F9348A">
        <w:trPr>
          <w:cantSplit/>
          <w:trHeight w:val="269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H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istological type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345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685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312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503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364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343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710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538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</w:tr>
      <w:tr w:rsidR="00F9348A" w:rsidRPr="00F9348A" w:rsidTr="00F9348A">
        <w:trPr>
          <w:cantSplit/>
          <w:trHeight w:val="269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CD8 density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＜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0.001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412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239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711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0.00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</w:p>
        </w:tc>
        <w:tc>
          <w:tcPr>
            <w:tcW w:w="1111" w:type="pct"/>
            <w:shd w:val="clear" w:color="auto" w:fill="auto"/>
            <w:noWrap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459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283-0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745)</w:t>
            </w:r>
          </w:p>
        </w:tc>
      </w:tr>
      <w:tr w:rsidR="00F9348A" w:rsidRPr="00F9348A" w:rsidTr="00F9348A">
        <w:trPr>
          <w:cantSplit/>
          <w:trHeight w:val="218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right"/>
              <w:rPr>
                <w:rFonts w:ascii="Times New Roman" w:eastAsia="等线" w:hAnsi="Times New Roman" w:cs="Times New Roman"/>
                <w:b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b/>
                <w:color w:val="000000" w:themeColor="text1"/>
                <w:sz w:val="18"/>
                <w:szCs w:val="13"/>
              </w:rPr>
              <w:t>Multivariate analysis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</w:tr>
      <w:tr w:rsidR="00F9348A" w:rsidRPr="00F9348A" w:rsidTr="00F9348A">
        <w:trPr>
          <w:cantSplit/>
          <w:trHeight w:val="284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Gender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—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—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0.028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1.740(1.062-2.852)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P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athological T stage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—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—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0.046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2.182(1.015-4.688)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 xml:space="preserve">TNM 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stage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＜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0.001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250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836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5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755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0.036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1.729(1.035-2.887)</w:t>
            </w: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Differentiation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—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—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</w:tr>
      <w:tr w:rsidR="00F9348A" w:rsidRPr="00F9348A" w:rsidTr="00F9348A">
        <w:trPr>
          <w:cantSplit/>
          <w:trHeight w:val="90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i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i/>
                <w:color w:val="000000" w:themeColor="text1"/>
                <w:sz w:val="18"/>
                <w:szCs w:val="13"/>
              </w:rPr>
              <w:t>Schistosomiasis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—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—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—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—</w:t>
            </w:r>
          </w:p>
        </w:tc>
      </w:tr>
      <w:tr w:rsidR="00F9348A" w:rsidRPr="00F9348A" w:rsidTr="00F9348A">
        <w:trPr>
          <w:cantSplit/>
          <w:trHeight w:val="209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 xml:space="preserve">Vessel 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invasion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—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—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0.080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1.549(0.950-2.526)</w:t>
            </w:r>
          </w:p>
        </w:tc>
      </w:tr>
      <w:tr w:rsidR="00F9348A" w:rsidRPr="00F9348A" w:rsidTr="00F9348A">
        <w:trPr>
          <w:cantSplit/>
          <w:trHeight w:val="254"/>
        </w:trPr>
        <w:tc>
          <w:tcPr>
            <w:tcW w:w="104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Lymph nodes positive for CRC</w:t>
            </w:r>
          </w:p>
        </w:tc>
        <w:tc>
          <w:tcPr>
            <w:tcW w:w="305" w:type="pct"/>
          </w:tcPr>
          <w:p w:rsidR="00F9348A" w:rsidRPr="00F9348A" w:rsidRDefault="00F9348A" w:rsidP="00D57D9C">
            <w:pPr>
              <w:spacing w:line="28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0.027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106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086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4.084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0.033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1.935(1.056-3.545)</w:t>
            </w:r>
          </w:p>
        </w:tc>
      </w:tr>
      <w:tr w:rsidR="00F9348A" w:rsidRPr="00F9348A" w:rsidTr="00F9348A">
        <w:trPr>
          <w:cantSplit/>
          <w:trHeight w:val="254"/>
        </w:trPr>
        <w:tc>
          <w:tcPr>
            <w:tcW w:w="104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CD8 density</w:t>
            </w:r>
          </w:p>
        </w:tc>
        <w:tc>
          <w:tcPr>
            <w:tcW w:w="305" w:type="pct"/>
            <w:tcBorders>
              <w:bottom w:val="single" w:sz="12" w:space="0" w:color="auto"/>
            </w:tcBorders>
          </w:tcPr>
          <w:p w:rsidR="00F9348A" w:rsidRPr="00F9348A" w:rsidRDefault="00F9348A" w:rsidP="00D57D9C">
            <w:pPr>
              <w:spacing w:line="28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60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0.045</w:t>
            </w:r>
          </w:p>
        </w:tc>
        <w:tc>
          <w:tcPr>
            <w:tcW w:w="11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592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(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.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337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-</w:t>
            </w: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1.039</w:t>
            </w:r>
            <w:r w:rsidRPr="00F9348A"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  <w:t>)</w:t>
            </w:r>
          </w:p>
        </w:tc>
        <w:tc>
          <w:tcPr>
            <w:tcW w:w="223" w:type="pct"/>
            <w:tcBorders>
              <w:bottom w:val="single" w:sz="12" w:space="0" w:color="auto"/>
            </w:tcBorders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</w:p>
        </w:tc>
        <w:tc>
          <w:tcPr>
            <w:tcW w:w="59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0.037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3"/>
              </w:rPr>
              <w:t>0.574(0.341-0.966)</w:t>
            </w:r>
          </w:p>
        </w:tc>
      </w:tr>
      <w:tr w:rsidR="00F9348A" w:rsidRPr="00F9348A" w:rsidTr="00F9348A">
        <w:trPr>
          <w:cantSplit/>
          <w:trHeight w:val="316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9348A" w:rsidRPr="00F9348A" w:rsidRDefault="00F9348A" w:rsidP="00D57D9C">
            <w:pPr>
              <w:spacing w:line="140" w:lineRule="atLeast"/>
              <w:jc w:val="center"/>
              <w:rPr>
                <w:rFonts w:ascii="Times New Roman" w:eastAsia="等线" w:hAnsi="Times New Roman" w:cs="Times New Roman"/>
                <w:color w:val="000000" w:themeColor="text1"/>
                <w:sz w:val="18"/>
                <w:szCs w:val="13"/>
              </w:rPr>
            </w:pPr>
            <w:r w:rsidRPr="00F9348A"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  <w:t>—</w:t>
            </w:r>
            <w:r w:rsidRPr="00F9348A">
              <w:rPr>
                <w:rFonts w:ascii="Times New Roman" w:eastAsia="等线" w:hAnsi="Times New Roman" w:cs="Times New Roman" w:hint="eastAsia"/>
                <w:color w:val="000000"/>
                <w:sz w:val="18"/>
                <w:szCs w:val="13"/>
              </w:rPr>
              <w:t xml:space="preserve">:Data is non-significant ; </w:t>
            </w:r>
            <w:r w:rsidRPr="00F9348A"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  <w:t>Abbreviation: CI</w:t>
            </w:r>
            <w:r w:rsidRPr="00F9348A">
              <w:rPr>
                <w:rFonts w:ascii="Times New Roman" w:eastAsia="等线" w:hAnsi="Times New Roman" w:cs="Times New Roman" w:hint="eastAsia"/>
                <w:color w:val="000000"/>
                <w:sz w:val="18"/>
                <w:szCs w:val="13"/>
              </w:rPr>
              <w:t>=</w:t>
            </w:r>
            <w:r w:rsidRPr="00F9348A"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  <w:t>confidence interval</w:t>
            </w:r>
            <w:r w:rsidRPr="00F9348A">
              <w:rPr>
                <w:rFonts w:ascii="Times New Roman" w:eastAsia="等线" w:hAnsi="Times New Roman" w:cs="Times New Roman" w:hint="eastAsia"/>
                <w:color w:val="000000"/>
                <w:sz w:val="18"/>
                <w:szCs w:val="13"/>
              </w:rPr>
              <w:t>; HR=Hazard ratio;</w:t>
            </w:r>
            <w:r w:rsidRPr="00F9348A"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  <w:t xml:space="preserve"> P &lt; 0.05 was defined as the</w:t>
            </w:r>
            <w:r w:rsidRPr="00F9348A">
              <w:rPr>
                <w:rFonts w:ascii="Times New Roman" w:eastAsia="等线" w:hAnsi="Times New Roman" w:cs="Times New Roman" w:hint="eastAsia"/>
                <w:color w:val="000000"/>
                <w:sz w:val="18"/>
                <w:szCs w:val="13"/>
              </w:rPr>
              <w:t xml:space="preserve"> </w:t>
            </w:r>
            <w:r w:rsidRPr="00F9348A"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  <w:t>criterion for variable deletion when performing backward stepwise</w:t>
            </w:r>
            <w:r w:rsidRPr="00F9348A">
              <w:rPr>
                <w:rFonts w:ascii="Times New Roman" w:eastAsia="等线" w:hAnsi="Times New Roman" w:cs="Times New Roman" w:hint="eastAsia"/>
                <w:color w:val="000000"/>
                <w:sz w:val="18"/>
                <w:szCs w:val="13"/>
              </w:rPr>
              <w:t xml:space="preserve"> </w:t>
            </w:r>
            <w:r w:rsidRPr="00F9348A">
              <w:rPr>
                <w:rFonts w:ascii="Times New Roman" w:eastAsia="等线" w:hAnsi="Times New Roman" w:cs="Times New Roman"/>
                <w:color w:val="000000"/>
                <w:sz w:val="18"/>
                <w:szCs w:val="13"/>
              </w:rPr>
              <w:t>selection</w:t>
            </w:r>
          </w:p>
        </w:tc>
      </w:tr>
      <w:bookmarkEnd w:id="0"/>
    </w:tbl>
    <w:p w:rsidR="0005560B" w:rsidRPr="00F9348A" w:rsidRDefault="0005560B" w:rsidP="007C3113">
      <w:pPr>
        <w:jc w:val="center"/>
        <w:rPr>
          <w:szCs w:val="13"/>
        </w:rPr>
      </w:pPr>
    </w:p>
    <w:sectPr w:rsidR="0005560B" w:rsidRPr="00F9348A" w:rsidSect="007C3113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CE" w:rsidRDefault="008D23CE" w:rsidP="00B61180">
      <w:r>
        <w:separator/>
      </w:r>
    </w:p>
  </w:endnote>
  <w:endnote w:type="continuationSeparator" w:id="1">
    <w:p w:rsidR="008D23CE" w:rsidRDefault="008D23CE" w:rsidP="00B6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CE" w:rsidRDefault="008D23CE" w:rsidP="00B61180">
      <w:r>
        <w:separator/>
      </w:r>
    </w:p>
  </w:footnote>
  <w:footnote w:type="continuationSeparator" w:id="1">
    <w:p w:rsidR="008D23CE" w:rsidRDefault="008D23CE" w:rsidP="00B61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12C"/>
    <w:rsid w:val="00051578"/>
    <w:rsid w:val="00053AA2"/>
    <w:rsid w:val="0005560B"/>
    <w:rsid w:val="00073A30"/>
    <w:rsid w:val="00083DDE"/>
    <w:rsid w:val="000A1B97"/>
    <w:rsid w:val="000C610F"/>
    <w:rsid w:val="000D520F"/>
    <w:rsid w:val="00180155"/>
    <w:rsid w:val="00194383"/>
    <w:rsid w:val="001B571B"/>
    <w:rsid w:val="001D2FA1"/>
    <w:rsid w:val="00240C0F"/>
    <w:rsid w:val="00246AAF"/>
    <w:rsid w:val="002502F9"/>
    <w:rsid w:val="00272C34"/>
    <w:rsid w:val="002941D3"/>
    <w:rsid w:val="002B717F"/>
    <w:rsid w:val="002C41BE"/>
    <w:rsid w:val="00314C26"/>
    <w:rsid w:val="003A4F2D"/>
    <w:rsid w:val="003B3D36"/>
    <w:rsid w:val="003E760F"/>
    <w:rsid w:val="003F2A97"/>
    <w:rsid w:val="003F682A"/>
    <w:rsid w:val="00424E45"/>
    <w:rsid w:val="00426B9C"/>
    <w:rsid w:val="00432516"/>
    <w:rsid w:val="00444C09"/>
    <w:rsid w:val="004505AE"/>
    <w:rsid w:val="004621F0"/>
    <w:rsid w:val="00470C6D"/>
    <w:rsid w:val="0047624F"/>
    <w:rsid w:val="004A45ED"/>
    <w:rsid w:val="004E32F8"/>
    <w:rsid w:val="004E4EED"/>
    <w:rsid w:val="005138A1"/>
    <w:rsid w:val="0052593E"/>
    <w:rsid w:val="00575C08"/>
    <w:rsid w:val="00587A58"/>
    <w:rsid w:val="005E0249"/>
    <w:rsid w:val="005F03C9"/>
    <w:rsid w:val="005F5F66"/>
    <w:rsid w:val="00612A62"/>
    <w:rsid w:val="00613631"/>
    <w:rsid w:val="00670E8B"/>
    <w:rsid w:val="006A08A0"/>
    <w:rsid w:val="006E03D0"/>
    <w:rsid w:val="006E73F4"/>
    <w:rsid w:val="006F28AB"/>
    <w:rsid w:val="00705BA2"/>
    <w:rsid w:val="007103A8"/>
    <w:rsid w:val="007111D7"/>
    <w:rsid w:val="0073253E"/>
    <w:rsid w:val="00753E78"/>
    <w:rsid w:val="007B236D"/>
    <w:rsid w:val="007B7A2E"/>
    <w:rsid w:val="007C3113"/>
    <w:rsid w:val="0081179E"/>
    <w:rsid w:val="00813B98"/>
    <w:rsid w:val="00833152"/>
    <w:rsid w:val="008430B7"/>
    <w:rsid w:val="00887CD3"/>
    <w:rsid w:val="008B6BF5"/>
    <w:rsid w:val="008D23CE"/>
    <w:rsid w:val="00914058"/>
    <w:rsid w:val="00940287"/>
    <w:rsid w:val="009567EE"/>
    <w:rsid w:val="00957197"/>
    <w:rsid w:val="009B1347"/>
    <w:rsid w:val="009E605B"/>
    <w:rsid w:val="009E650B"/>
    <w:rsid w:val="00A3661D"/>
    <w:rsid w:val="00A510D5"/>
    <w:rsid w:val="00A55DD8"/>
    <w:rsid w:val="00A570AF"/>
    <w:rsid w:val="00A66A4C"/>
    <w:rsid w:val="00A9561C"/>
    <w:rsid w:val="00AE3B5A"/>
    <w:rsid w:val="00B16850"/>
    <w:rsid w:val="00B272B8"/>
    <w:rsid w:val="00B277EB"/>
    <w:rsid w:val="00B5327C"/>
    <w:rsid w:val="00B56A87"/>
    <w:rsid w:val="00B61180"/>
    <w:rsid w:val="00B74DD7"/>
    <w:rsid w:val="00BE7C3B"/>
    <w:rsid w:val="00BF612B"/>
    <w:rsid w:val="00C16E24"/>
    <w:rsid w:val="00C455C6"/>
    <w:rsid w:val="00C64C2B"/>
    <w:rsid w:val="00C84644"/>
    <w:rsid w:val="00C85FA5"/>
    <w:rsid w:val="00C926B6"/>
    <w:rsid w:val="00C97FB5"/>
    <w:rsid w:val="00CB312C"/>
    <w:rsid w:val="00CD6873"/>
    <w:rsid w:val="00CE0B28"/>
    <w:rsid w:val="00CF3052"/>
    <w:rsid w:val="00D242E4"/>
    <w:rsid w:val="00D35729"/>
    <w:rsid w:val="00D37D4F"/>
    <w:rsid w:val="00D55CE2"/>
    <w:rsid w:val="00D62657"/>
    <w:rsid w:val="00DB001B"/>
    <w:rsid w:val="00DB67E8"/>
    <w:rsid w:val="00DD0E37"/>
    <w:rsid w:val="00DD225C"/>
    <w:rsid w:val="00DD6B3B"/>
    <w:rsid w:val="00E35D71"/>
    <w:rsid w:val="00E5397C"/>
    <w:rsid w:val="00E67237"/>
    <w:rsid w:val="00E97621"/>
    <w:rsid w:val="00EA0746"/>
    <w:rsid w:val="00EE2FE8"/>
    <w:rsid w:val="00EE756D"/>
    <w:rsid w:val="00F11EA3"/>
    <w:rsid w:val="00F53911"/>
    <w:rsid w:val="00F80FFD"/>
    <w:rsid w:val="00F90676"/>
    <w:rsid w:val="00F9348A"/>
    <w:rsid w:val="00F95E6D"/>
    <w:rsid w:val="00FA3588"/>
    <w:rsid w:val="00FE20F1"/>
    <w:rsid w:val="00F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2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180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1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180"/>
    <w:rPr>
      <w:rFonts w:ascii="宋体" w:eastAsia="宋体" w:hAnsi="宋体" w:cs="宋体"/>
      <w:kern w:val="0"/>
      <w:sz w:val="18"/>
      <w:szCs w:val="18"/>
    </w:rPr>
  </w:style>
  <w:style w:type="paragraph" w:customStyle="1" w:styleId="Pa17">
    <w:name w:val="Pa17"/>
    <w:basedOn w:val="a"/>
    <w:next w:val="a"/>
    <w:uiPriority w:val="99"/>
    <w:rsid w:val="00B61180"/>
    <w:pPr>
      <w:widowControl w:val="0"/>
      <w:autoSpaceDE w:val="0"/>
      <w:autoSpaceDN w:val="0"/>
      <w:adjustRightInd w:val="0"/>
      <w:spacing w:line="201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王伟霞</dc:creator>
  <cp:lastModifiedBy>王伟霞</cp:lastModifiedBy>
  <cp:revision>14</cp:revision>
  <dcterms:created xsi:type="dcterms:W3CDTF">2020-07-07T04:46:00Z</dcterms:created>
  <dcterms:modified xsi:type="dcterms:W3CDTF">2021-05-10T04:01:00Z</dcterms:modified>
</cp:coreProperties>
</file>