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86" w:rsidRPr="002D65B2" w:rsidRDefault="00816486" w:rsidP="00816486">
      <w:pPr>
        <w:pStyle w:val="MDPI12title"/>
        <w:adjustRightInd/>
        <w:snapToGrid/>
        <w:spacing w:after="0" w:line="480" w:lineRule="auto"/>
        <w:jc w:val="both"/>
        <w:rPr>
          <w:rFonts w:ascii="Arial" w:eastAsia="標楷體" w:hAnsi="Arial" w:cs="Arial"/>
          <w:sz w:val="28"/>
          <w:szCs w:val="28"/>
        </w:rPr>
      </w:pPr>
      <w:r w:rsidRPr="002D65B2">
        <w:rPr>
          <w:rFonts w:ascii="Arial" w:eastAsia="標楷體" w:hAnsi="Arial" w:cs="Arial"/>
          <w:bCs/>
          <w:color w:val="000000" w:themeColor="text1"/>
          <w:sz w:val="28"/>
          <w:szCs w:val="28"/>
        </w:rPr>
        <w:t xml:space="preserve">MAP3K1 expression is associated with progression and poor </w:t>
      </w:r>
      <w:r>
        <w:rPr>
          <w:rFonts w:ascii="Arial" w:eastAsia="標楷體" w:hAnsi="Arial" w:cs="Arial"/>
          <w:bCs/>
          <w:color w:val="000000" w:themeColor="text1"/>
          <w:sz w:val="28"/>
          <w:szCs w:val="28"/>
        </w:rPr>
        <w:t xml:space="preserve">prognosis </w:t>
      </w:r>
      <w:r w:rsidRPr="002D65B2">
        <w:rPr>
          <w:rFonts w:ascii="Arial" w:eastAsia="標楷體" w:hAnsi="Arial" w:cs="Arial"/>
          <w:bCs/>
          <w:color w:val="000000" w:themeColor="text1"/>
          <w:sz w:val="28"/>
          <w:szCs w:val="28"/>
        </w:rPr>
        <w:t>of hormone</w:t>
      </w:r>
      <w:r w:rsidRPr="002D65B2">
        <w:rPr>
          <w:rFonts w:ascii="Arial" w:hAnsi="Arial" w:cs="Arial"/>
          <w:bCs/>
          <w:color w:val="000000" w:themeColor="text1"/>
          <w:sz w:val="28"/>
          <w:szCs w:val="28"/>
        </w:rPr>
        <w:t xml:space="preserve"> receptor-positive, HER2-negative early-stage </w:t>
      </w:r>
      <w:r w:rsidRPr="002D65B2">
        <w:rPr>
          <w:rFonts w:ascii="Arial" w:eastAsia="標楷體" w:hAnsi="Arial" w:cs="Arial"/>
          <w:bCs/>
          <w:color w:val="000000" w:themeColor="text1"/>
          <w:sz w:val="28"/>
          <w:szCs w:val="28"/>
        </w:rPr>
        <w:t xml:space="preserve">breast cancer </w:t>
      </w:r>
    </w:p>
    <w:p w:rsidR="00816486" w:rsidRDefault="00816486" w:rsidP="00816486">
      <w:pPr>
        <w:pStyle w:val="MDPI13authornames"/>
        <w:adjustRightInd/>
        <w:snapToGrid/>
        <w:spacing w:after="0" w:line="360" w:lineRule="auto"/>
        <w:jc w:val="both"/>
        <w:rPr>
          <w:rFonts w:ascii="Arial" w:hAnsi="Arial" w:cs="Arial"/>
          <w:b w:val="0"/>
          <w:sz w:val="22"/>
        </w:rPr>
      </w:pPr>
    </w:p>
    <w:p w:rsidR="003C12CE" w:rsidRPr="00A503DC" w:rsidRDefault="003C12CE" w:rsidP="003C12CE">
      <w:pPr>
        <w:pStyle w:val="Default"/>
        <w:spacing w:line="360" w:lineRule="auto"/>
        <w:rPr>
          <w:rFonts w:ascii="Arial" w:hAnsi="Arial" w:cs="Arial"/>
        </w:rPr>
      </w:pPr>
      <w:r w:rsidRPr="00A503DC">
        <w:rPr>
          <w:rFonts w:ascii="Arial" w:hAnsi="Arial" w:cs="Arial"/>
        </w:rPr>
        <w:t>Sung-Hsin Kuo, Ming-Feng Wei,</w:t>
      </w:r>
      <w:r w:rsidRPr="00A503DC">
        <w:rPr>
          <w:rFonts w:ascii="Arial" w:hAnsi="Arial" w:cs="Arial"/>
          <w:shd w:val="clear" w:color="auto" w:fill="FFFFFF"/>
        </w:rPr>
        <w:t xml:space="preserve"> Yi-Hsuan Lee</w:t>
      </w:r>
      <w:r w:rsidRPr="00A503DC">
        <w:rPr>
          <w:rFonts w:ascii="Arial" w:hAnsi="Arial" w:cs="Arial"/>
        </w:rPr>
        <w:t>,</w:t>
      </w:r>
      <w:r>
        <w:rPr>
          <w:rFonts w:ascii="Arial" w:hAnsi="Arial" w:cs="Arial"/>
          <w:vertAlign w:val="superscript"/>
        </w:rPr>
        <w:t xml:space="preserve"> </w:t>
      </w:r>
      <w:r w:rsidRPr="00A503DC">
        <w:rPr>
          <w:rFonts w:ascii="Arial" w:hAnsi="Arial" w:cs="Arial"/>
        </w:rPr>
        <w:t>Wen-Chi Yang,</w:t>
      </w:r>
      <w:r>
        <w:rPr>
          <w:rFonts w:ascii="Arial" w:hAnsi="Arial" w:cs="Arial"/>
        </w:rPr>
        <w:t xml:space="preserve"> </w:t>
      </w:r>
      <w:r w:rsidRPr="00A503DC">
        <w:rPr>
          <w:rFonts w:ascii="Arial" w:hAnsi="Arial" w:cs="Arial"/>
        </w:rPr>
        <w:t>Shi-Yi Yang</w:t>
      </w:r>
      <w:r w:rsidRPr="003C12CE">
        <w:rPr>
          <w:rFonts w:ascii="Arial" w:hAnsi="Arial" w:cs="Arial"/>
          <w:bCs/>
        </w:rPr>
        <w:t>,</w:t>
      </w:r>
      <w:r>
        <w:rPr>
          <w:rFonts w:ascii="Arial" w:hAnsi="Arial" w:cs="Arial"/>
          <w:b/>
        </w:rPr>
        <w:t xml:space="preserve"> </w:t>
      </w:r>
      <w:r w:rsidRPr="00A503DC">
        <w:rPr>
          <w:rFonts w:ascii="Arial" w:hAnsi="Arial" w:cs="Arial"/>
        </w:rPr>
        <w:t>Jui-Chueh Lin, and Chiun-Sheng Huang</w:t>
      </w:r>
    </w:p>
    <w:p w:rsidR="00816486" w:rsidRPr="003C12CE" w:rsidRDefault="00816486" w:rsidP="00816486">
      <w:pPr>
        <w:rPr>
          <w:lang w:eastAsia="de-DE" w:bidi="en-US"/>
        </w:rPr>
      </w:pPr>
    </w:p>
    <w:p w:rsidR="00816486" w:rsidRDefault="00816486" w:rsidP="00816486">
      <w:pPr>
        <w:rPr>
          <w:lang w:eastAsia="de-DE" w:bidi="en-US"/>
        </w:rPr>
      </w:pPr>
    </w:p>
    <w:p w:rsidR="00816486" w:rsidRPr="002D2258" w:rsidRDefault="002D2258" w:rsidP="00816486">
      <w:pPr>
        <w:rPr>
          <w:rFonts w:ascii="Arial" w:hAnsi="Arial" w:cs="Arial"/>
          <w:b/>
          <w:bCs/>
          <w:sz w:val="28"/>
          <w:szCs w:val="28"/>
          <w:lang w:bidi="en-US"/>
        </w:rPr>
      </w:pPr>
      <w:r w:rsidRPr="002D2258">
        <w:rPr>
          <w:rFonts w:ascii="Arial" w:hAnsi="Arial" w:cs="Arial"/>
          <w:b/>
          <w:bCs/>
          <w:sz w:val="28"/>
          <w:szCs w:val="28"/>
          <w:lang w:bidi="en-US"/>
        </w:rPr>
        <w:t>Supplementary Methods</w:t>
      </w:r>
    </w:p>
    <w:p w:rsidR="002D2258" w:rsidRPr="002D2258" w:rsidRDefault="002D2258" w:rsidP="00816486">
      <w:pPr>
        <w:rPr>
          <w:rFonts w:ascii="Arial" w:hAnsi="Arial" w:cs="Arial"/>
          <w:b/>
          <w:bCs/>
          <w:sz w:val="28"/>
          <w:szCs w:val="28"/>
          <w:lang w:bidi="en-US"/>
        </w:rPr>
      </w:pPr>
    </w:p>
    <w:p w:rsidR="003C12CE" w:rsidRPr="00121FF9" w:rsidRDefault="003C12CE" w:rsidP="003C12CE">
      <w:pPr>
        <w:pStyle w:val="MDPI22heading2"/>
        <w:adjustRightInd/>
        <w:snapToGrid/>
        <w:spacing w:before="0" w:after="0" w:line="480" w:lineRule="auto"/>
        <w:rPr>
          <w:rFonts w:ascii="Arial" w:hAnsi="Arial" w:cs="Arial"/>
          <w:b/>
          <w:bCs/>
          <w:i w:val="0"/>
          <w:iCs/>
          <w:sz w:val="24"/>
          <w:szCs w:val="24"/>
        </w:rPr>
      </w:pPr>
      <w:r w:rsidRPr="00121FF9">
        <w:rPr>
          <w:rFonts w:ascii="Arial" w:hAnsi="Arial" w:cs="Arial"/>
          <w:b/>
          <w:bCs/>
          <w:i w:val="0"/>
          <w:iCs/>
          <w:sz w:val="24"/>
          <w:szCs w:val="24"/>
        </w:rPr>
        <w:t>Cell proliferation and viability assay</w:t>
      </w:r>
    </w:p>
    <w:p w:rsidR="003C12CE" w:rsidRPr="00F166C5" w:rsidRDefault="003C12CE" w:rsidP="003C12CE">
      <w:pPr>
        <w:pStyle w:val="MDPI31text"/>
        <w:adjustRightInd/>
        <w:snapToGrid/>
        <w:spacing w:line="480" w:lineRule="auto"/>
        <w:ind w:firstLine="0"/>
        <w:rPr>
          <w:rFonts w:ascii="Arial" w:hAnsi="Arial" w:cs="Arial"/>
          <w:color w:val="000000" w:themeColor="text1"/>
          <w:sz w:val="24"/>
          <w:szCs w:val="24"/>
        </w:rPr>
      </w:pPr>
      <w:r w:rsidRPr="00F166C5">
        <w:rPr>
          <w:rFonts w:ascii="Arial" w:hAnsi="Arial" w:cs="Arial"/>
          <w:color w:val="000000" w:themeColor="text1"/>
          <w:sz w:val="24"/>
          <w:szCs w:val="24"/>
        </w:rPr>
        <w:t xml:space="preserve">For cell proliferation assay, </w:t>
      </w:r>
      <w:r>
        <w:rPr>
          <w:rFonts w:ascii="Arial" w:hAnsi="Arial" w:cs="Arial"/>
          <w:color w:val="000000" w:themeColor="text1"/>
          <w:sz w:val="24"/>
          <w:szCs w:val="24"/>
        </w:rPr>
        <w:t xml:space="preserve">an </w:t>
      </w:r>
      <w:r w:rsidRPr="00F166C5">
        <w:rPr>
          <w:rFonts w:ascii="Arial" w:hAnsi="Arial" w:cs="Arial"/>
          <w:color w:val="000000" w:themeColor="text1"/>
          <w:sz w:val="24"/>
          <w:szCs w:val="24"/>
        </w:rPr>
        <w:t>equal number of cells of both breast cancer cell lines, stably expressing either shMAP3K1 (MAP3K1</w:t>
      </w:r>
      <w:r w:rsidRPr="00F166C5">
        <w:rPr>
          <w:rFonts w:ascii="Arial" w:hAnsi="Arial" w:cs="Arial"/>
          <w:color w:val="000000" w:themeColor="text1"/>
          <w:sz w:val="24"/>
          <w:szCs w:val="24"/>
          <w:shd w:val="clear" w:color="auto" w:fill="FFFFFF"/>
        </w:rPr>
        <w:t xml:space="preserve"> shRNA transfection)</w:t>
      </w:r>
      <w:r w:rsidRPr="00F166C5">
        <w:rPr>
          <w:rFonts w:ascii="Arial" w:hAnsi="Arial" w:cs="Arial"/>
          <w:color w:val="000000" w:themeColor="text1"/>
          <w:sz w:val="24"/>
          <w:szCs w:val="24"/>
        </w:rPr>
        <w:t xml:space="preserve"> or scramble</w:t>
      </w:r>
      <w:r>
        <w:rPr>
          <w:rFonts w:ascii="Arial" w:hAnsi="Arial" w:cs="Arial"/>
          <w:color w:val="000000" w:themeColor="text1"/>
          <w:sz w:val="24"/>
          <w:szCs w:val="24"/>
        </w:rPr>
        <w:t>d</w:t>
      </w:r>
      <w:r w:rsidRPr="00F166C5">
        <w:rPr>
          <w:rFonts w:ascii="Arial" w:hAnsi="Arial" w:cs="Arial"/>
          <w:color w:val="000000" w:themeColor="text1"/>
          <w:sz w:val="24"/>
          <w:szCs w:val="24"/>
        </w:rPr>
        <w:t xml:space="preserve"> shRNA, were plated in a 96-well plate. At first, third, fifth, and seventh day</w:t>
      </w:r>
      <w:r>
        <w:rPr>
          <w:rFonts w:ascii="Arial" w:hAnsi="Arial" w:cs="Arial"/>
          <w:color w:val="000000" w:themeColor="text1"/>
          <w:sz w:val="24"/>
          <w:szCs w:val="24"/>
        </w:rPr>
        <w:t>s</w:t>
      </w:r>
      <w:r w:rsidRPr="00F166C5">
        <w:rPr>
          <w:rFonts w:ascii="Arial" w:hAnsi="Arial" w:cs="Arial"/>
          <w:color w:val="000000" w:themeColor="text1"/>
          <w:sz w:val="24"/>
          <w:szCs w:val="24"/>
        </w:rPr>
        <w:t xml:space="preserve"> after cell seeding, cell growth was estimated using the tetrazolium bromide (MTT) assay. The absorbance of each sample was compared with first day values. The relative ratio of absorbance on Day 1 was arbitrarily presented as 100% for each treatment.</w:t>
      </w:r>
    </w:p>
    <w:p w:rsidR="003C12CE" w:rsidRPr="00F166C5" w:rsidRDefault="003C12CE" w:rsidP="003C12CE">
      <w:pPr>
        <w:pStyle w:val="MDPI31text"/>
        <w:adjustRightInd/>
        <w:snapToGrid/>
        <w:spacing w:line="480" w:lineRule="auto"/>
        <w:rPr>
          <w:rFonts w:ascii="Arial" w:hAnsi="Arial" w:cs="Arial"/>
          <w:color w:val="000000" w:themeColor="text1"/>
          <w:sz w:val="24"/>
          <w:szCs w:val="24"/>
        </w:rPr>
      </w:pPr>
      <w:r w:rsidRPr="00F166C5">
        <w:rPr>
          <w:rFonts w:ascii="Arial" w:hAnsi="Arial" w:cs="Arial"/>
          <w:color w:val="000000" w:themeColor="text1"/>
          <w:sz w:val="24"/>
          <w:szCs w:val="24"/>
        </w:rPr>
        <w:t xml:space="preserve">For cell viability assay, cells were plated at a concentration of 3,000 cells/well in 96-well plates. The next day, cells were incubated with either tamoxifen, doxorubicin, or docetaxel at various doses. At 72 h after drug treatment, cell viability was measured using MTT assay. Cytotoxicity was </w:t>
      </w:r>
      <w:r w:rsidRPr="00F166C5">
        <w:rPr>
          <w:rFonts w:ascii="Arial" w:hAnsi="Arial" w:cs="Arial"/>
          <w:color w:val="000000" w:themeColor="text1"/>
          <w:sz w:val="24"/>
          <w:szCs w:val="24"/>
        </w:rPr>
        <w:lastRenderedPageBreak/>
        <w:t>expressed as absorbance percentage of the control group without treatment. The data w</w:t>
      </w:r>
      <w:r>
        <w:rPr>
          <w:rFonts w:ascii="Arial" w:hAnsi="Arial" w:cs="Arial"/>
          <w:color w:val="000000" w:themeColor="text1"/>
          <w:sz w:val="24"/>
          <w:szCs w:val="24"/>
        </w:rPr>
        <w:t>ere</w:t>
      </w:r>
      <w:r w:rsidRPr="00F166C5">
        <w:rPr>
          <w:rFonts w:ascii="Arial" w:hAnsi="Arial" w:cs="Arial"/>
          <w:color w:val="000000" w:themeColor="text1"/>
          <w:sz w:val="24"/>
          <w:szCs w:val="24"/>
        </w:rPr>
        <w:t xml:space="preserve"> expressed as the mean ± standard deviation (SD) of three different experiments. *</w:t>
      </w:r>
      <w:r>
        <w:rPr>
          <w:rFonts w:ascii="Arial" w:hAnsi="Arial" w:cs="Arial"/>
          <w:i/>
          <w:iCs/>
          <w:color w:val="000000" w:themeColor="text1"/>
          <w:sz w:val="24"/>
          <w:szCs w:val="24"/>
        </w:rPr>
        <w:t>P</w:t>
      </w:r>
      <w:r w:rsidRPr="00F166C5">
        <w:rPr>
          <w:rFonts w:ascii="Arial" w:hAnsi="Arial" w:cs="Arial"/>
          <w:color w:val="000000" w:themeColor="text1"/>
          <w:sz w:val="24"/>
          <w:szCs w:val="24"/>
        </w:rPr>
        <w:t xml:space="preserve"> &lt; 0.05; **</w:t>
      </w:r>
      <w:r>
        <w:rPr>
          <w:rFonts w:ascii="Arial" w:hAnsi="Arial" w:cs="Arial"/>
          <w:i/>
          <w:iCs/>
          <w:color w:val="000000" w:themeColor="text1"/>
          <w:sz w:val="24"/>
          <w:szCs w:val="24"/>
        </w:rPr>
        <w:t>P</w:t>
      </w:r>
      <w:r w:rsidRPr="00F166C5">
        <w:rPr>
          <w:rFonts w:ascii="Arial" w:hAnsi="Arial" w:cs="Arial"/>
          <w:color w:val="000000" w:themeColor="text1"/>
          <w:sz w:val="24"/>
          <w:szCs w:val="24"/>
        </w:rPr>
        <w:t xml:space="preserve"> &lt; 0.01; ***</w:t>
      </w:r>
      <w:r>
        <w:rPr>
          <w:rFonts w:ascii="Arial" w:hAnsi="Arial" w:cs="Arial"/>
          <w:i/>
          <w:iCs/>
          <w:color w:val="000000" w:themeColor="text1"/>
          <w:sz w:val="24"/>
          <w:szCs w:val="24"/>
        </w:rPr>
        <w:t>P</w:t>
      </w:r>
      <w:r w:rsidRPr="00F166C5">
        <w:rPr>
          <w:rFonts w:ascii="Arial" w:hAnsi="Arial" w:cs="Arial"/>
          <w:color w:val="000000" w:themeColor="text1"/>
          <w:sz w:val="24"/>
          <w:szCs w:val="24"/>
        </w:rPr>
        <w:t xml:space="preserve"> &lt; 0.001.</w:t>
      </w:r>
    </w:p>
    <w:p w:rsidR="003C12CE" w:rsidRDefault="003C12CE" w:rsidP="003C12CE">
      <w:pPr>
        <w:pStyle w:val="MDPI22heading2"/>
        <w:adjustRightInd/>
        <w:snapToGrid/>
        <w:spacing w:before="0" w:after="0" w:line="480" w:lineRule="auto"/>
        <w:rPr>
          <w:rFonts w:ascii="Arial" w:hAnsi="Arial" w:cs="Arial"/>
          <w:sz w:val="24"/>
          <w:szCs w:val="24"/>
        </w:rPr>
      </w:pPr>
    </w:p>
    <w:p w:rsidR="003C12CE" w:rsidRPr="00121FF9" w:rsidRDefault="003C12CE" w:rsidP="003C12CE">
      <w:pPr>
        <w:pStyle w:val="MDPI22heading2"/>
        <w:adjustRightInd/>
        <w:snapToGrid/>
        <w:spacing w:before="0" w:after="0" w:line="480" w:lineRule="auto"/>
        <w:rPr>
          <w:rFonts w:ascii="Arial" w:hAnsi="Arial" w:cs="Arial"/>
          <w:b/>
          <w:i w:val="0"/>
          <w:iCs/>
          <w:sz w:val="24"/>
          <w:szCs w:val="24"/>
        </w:rPr>
      </w:pPr>
      <w:r w:rsidRPr="00121FF9">
        <w:rPr>
          <w:rFonts w:ascii="Arial" w:hAnsi="Arial" w:cs="Arial"/>
          <w:b/>
          <w:i w:val="0"/>
          <w:iCs/>
          <w:sz w:val="24"/>
          <w:szCs w:val="24"/>
        </w:rPr>
        <w:t>Migration and invasion assay</w:t>
      </w:r>
    </w:p>
    <w:p w:rsidR="003C12CE" w:rsidRDefault="003C12CE" w:rsidP="003C12CE">
      <w:pPr>
        <w:pStyle w:val="MDPI31text"/>
        <w:adjustRightInd/>
        <w:snapToGrid/>
        <w:spacing w:line="480" w:lineRule="auto"/>
        <w:ind w:firstLine="0"/>
        <w:rPr>
          <w:rFonts w:ascii="Arial" w:hAnsi="Arial" w:cs="Arial"/>
          <w:color w:val="000000" w:themeColor="text1"/>
          <w:sz w:val="24"/>
          <w:szCs w:val="24"/>
        </w:rPr>
      </w:pPr>
      <w:r w:rsidRPr="00F166C5">
        <w:rPr>
          <w:rFonts w:ascii="Arial" w:hAnsi="Arial" w:cs="Arial"/>
          <w:color w:val="000000" w:themeColor="text1"/>
          <w:sz w:val="24"/>
          <w:szCs w:val="24"/>
        </w:rPr>
        <w:t>Cell migration was assessed by wound-healing assay using Culture Inserts (Ibidi, Martinsried, Germany). The breast cancer cells with different treatments were plated on separate sides of the culture inserts for 24 h at the concentration of 5 × 10</w:t>
      </w:r>
      <w:r w:rsidRPr="00F166C5">
        <w:rPr>
          <w:rFonts w:ascii="Arial" w:hAnsi="Arial" w:cs="Arial"/>
          <w:color w:val="000000" w:themeColor="text1"/>
          <w:sz w:val="24"/>
          <w:szCs w:val="24"/>
          <w:vertAlign w:val="superscript"/>
        </w:rPr>
        <w:t>4</w:t>
      </w:r>
      <w:r w:rsidRPr="00F166C5">
        <w:rPr>
          <w:rFonts w:ascii="Arial" w:hAnsi="Arial" w:cs="Arial"/>
          <w:color w:val="000000" w:themeColor="text1"/>
          <w:sz w:val="24"/>
          <w:szCs w:val="24"/>
        </w:rPr>
        <w:t xml:space="preserve"> cells/side</w:t>
      </w:r>
      <w:r>
        <w:rPr>
          <w:rFonts w:ascii="Arial" w:hAnsi="Arial" w:cs="Arial"/>
          <w:color w:val="000000" w:themeColor="text1"/>
          <w:sz w:val="24"/>
          <w:szCs w:val="24"/>
        </w:rPr>
        <w:t>.</w:t>
      </w:r>
      <w:r>
        <w:rPr>
          <w:rFonts w:ascii="Arial" w:hAnsi="Arial" w:cs="Arial"/>
          <w:color w:val="000000" w:themeColor="text1"/>
          <w:sz w:val="24"/>
          <w:szCs w:val="24"/>
          <w:vertAlign w:val="superscript"/>
        </w:rPr>
        <w:t>25</w:t>
      </w:r>
      <w:r>
        <w:rPr>
          <w:rFonts w:ascii="Arial" w:hAnsi="Arial" w:cs="Arial"/>
          <w:color w:val="000000" w:themeColor="text1"/>
          <w:sz w:val="24"/>
          <w:szCs w:val="24"/>
        </w:rPr>
        <w:t xml:space="preserve"> </w:t>
      </w:r>
      <w:r w:rsidRPr="00F166C5">
        <w:rPr>
          <w:rFonts w:ascii="Arial" w:hAnsi="Arial" w:cs="Arial"/>
          <w:color w:val="000000" w:themeColor="text1"/>
          <w:sz w:val="24"/>
          <w:szCs w:val="24"/>
        </w:rPr>
        <w:t xml:space="preserve">Then, the total migrating distance of cells from the edges was photographed and measured at five random points for each replicate using Adobe Photoshop CS4 software at 24 h after </w:t>
      </w:r>
      <w:r>
        <w:rPr>
          <w:rFonts w:ascii="Arial" w:hAnsi="Arial" w:cs="Arial"/>
          <w:color w:val="000000" w:themeColor="text1"/>
          <w:sz w:val="24"/>
          <w:szCs w:val="24"/>
        </w:rPr>
        <w:t xml:space="preserve">removing </w:t>
      </w:r>
      <w:r w:rsidRPr="00F166C5">
        <w:rPr>
          <w:rFonts w:ascii="Arial" w:hAnsi="Arial" w:cs="Arial"/>
          <w:color w:val="000000" w:themeColor="text1"/>
          <w:sz w:val="24"/>
          <w:szCs w:val="24"/>
        </w:rPr>
        <w:t>the insert. Invasion assays were conducted using BD Falcon Cell Culture Inserts (Transparent PET membrane with 8.0 µm pore size; Falcon REF 353097)</w:t>
      </w:r>
      <w:r>
        <w:rPr>
          <w:rFonts w:ascii="Arial" w:hAnsi="Arial" w:cs="Arial"/>
          <w:color w:val="000000" w:themeColor="text1"/>
          <w:sz w:val="24"/>
          <w:szCs w:val="24"/>
        </w:rPr>
        <w:t>.</w:t>
      </w:r>
      <w:r>
        <w:rPr>
          <w:rFonts w:ascii="Arial" w:hAnsi="Arial" w:cs="Arial"/>
          <w:color w:val="000000" w:themeColor="text1"/>
          <w:sz w:val="24"/>
          <w:szCs w:val="24"/>
          <w:vertAlign w:val="superscript"/>
        </w:rPr>
        <w:t>25</w:t>
      </w:r>
      <w:r w:rsidRPr="00F166C5">
        <w:rPr>
          <w:rFonts w:ascii="Arial" w:hAnsi="Arial" w:cs="Arial"/>
          <w:color w:val="000000" w:themeColor="text1"/>
          <w:sz w:val="24"/>
          <w:szCs w:val="24"/>
        </w:rPr>
        <w:t xml:space="preserve"> Then, 2</w:t>
      </w:r>
      <w:r>
        <w:rPr>
          <w:rFonts w:ascii="Arial" w:hAnsi="Arial" w:cs="Arial"/>
          <w:color w:val="000000" w:themeColor="text1"/>
          <w:sz w:val="24"/>
          <w:szCs w:val="24"/>
        </w:rPr>
        <w:t xml:space="preserve"> </w:t>
      </w:r>
      <w:r w:rsidRPr="00F166C5">
        <w:rPr>
          <w:rFonts w:ascii="Arial" w:hAnsi="Arial" w:cs="Arial"/>
          <w:color w:val="000000" w:themeColor="text1"/>
          <w:sz w:val="24"/>
          <w:szCs w:val="24"/>
        </w:rPr>
        <w:t>× 10</w:t>
      </w:r>
      <w:r w:rsidRPr="00F166C5">
        <w:rPr>
          <w:rFonts w:ascii="Arial" w:hAnsi="Arial" w:cs="Arial"/>
          <w:color w:val="000000" w:themeColor="text1"/>
          <w:sz w:val="24"/>
          <w:szCs w:val="24"/>
          <w:vertAlign w:val="superscript"/>
        </w:rPr>
        <w:t>5</w:t>
      </w:r>
      <w:r w:rsidRPr="00F166C5">
        <w:rPr>
          <w:rFonts w:ascii="Arial" w:hAnsi="Arial" w:cs="Arial"/>
          <w:color w:val="000000" w:themeColor="text1"/>
          <w:sz w:val="24"/>
          <w:szCs w:val="24"/>
        </w:rPr>
        <w:t xml:space="preserve"> cells were resuspended in serum-free media and seeded in </w:t>
      </w:r>
      <w:r>
        <w:rPr>
          <w:rFonts w:ascii="Arial" w:hAnsi="Arial" w:cs="Arial"/>
          <w:color w:val="000000" w:themeColor="text1"/>
          <w:sz w:val="24"/>
          <w:szCs w:val="24"/>
        </w:rPr>
        <w:t>m</w:t>
      </w:r>
      <w:r w:rsidRPr="00F166C5">
        <w:rPr>
          <w:rFonts w:ascii="Arial" w:hAnsi="Arial" w:cs="Arial"/>
          <w:color w:val="000000" w:themeColor="text1"/>
          <w:sz w:val="24"/>
          <w:szCs w:val="24"/>
        </w:rPr>
        <w:t xml:space="preserve">atrigel-coated inserts. The outer chamber was filled with complete medium supplemented with 10% FBS. After incubation for 24 h at 37 °C, non-invading cells on the upper surface of the insert were removed using a cotton-tipped swab. The invading cells were fixed with cold methanol, stained with 0.5% crystal violet, and counted under a microscope. </w:t>
      </w:r>
    </w:p>
    <w:p w:rsidR="00816486" w:rsidRPr="00121FF9" w:rsidRDefault="00816486" w:rsidP="00816486">
      <w:pPr>
        <w:pStyle w:val="MDPI22heading2"/>
        <w:adjustRightInd/>
        <w:snapToGrid/>
        <w:spacing w:before="0" w:after="0" w:line="480" w:lineRule="auto"/>
        <w:rPr>
          <w:rFonts w:ascii="Arial" w:hAnsi="Arial" w:cs="Arial"/>
          <w:b/>
          <w:bCs/>
          <w:i w:val="0"/>
          <w:iCs/>
          <w:sz w:val="24"/>
          <w:szCs w:val="24"/>
        </w:rPr>
      </w:pPr>
      <w:r w:rsidRPr="00121FF9">
        <w:rPr>
          <w:rFonts w:ascii="Arial" w:hAnsi="Arial" w:cs="Arial"/>
          <w:b/>
          <w:bCs/>
          <w:i w:val="0"/>
          <w:iCs/>
          <w:sz w:val="24"/>
          <w:szCs w:val="24"/>
        </w:rPr>
        <w:lastRenderedPageBreak/>
        <w:t>Cell cycle analysis</w:t>
      </w:r>
    </w:p>
    <w:p w:rsidR="00816486" w:rsidRPr="00571A8F" w:rsidRDefault="00816486" w:rsidP="00816486">
      <w:pPr>
        <w:pStyle w:val="MDPI31text"/>
        <w:adjustRightInd/>
        <w:snapToGrid/>
        <w:spacing w:line="480" w:lineRule="auto"/>
        <w:ind w:firstLine="0"/>
        <w:rPr>
          <w:rFonts w:ascii="Arial" w:eastAsiaTheme="minorEastAsia" w:hAnsi="Arial" w:cs="Arial"/>
          <w:color w:val="000000" w:themeColor="text1"/>
          <w:sz w:val="24"/>
          <w:szCs w:val="24"/>
          <w:lang w:eastAsia="zh-TW"/>
        </w:rPr>
      </w:pPr>
      <w:r w:rsidRPr="00F166C5">
        <w:rPr>
          <w:rFonts w:ascii="Arial" w:hAnsi="Arial" w:cs="Arial"/>
          <w:color w:val="000000" w:themeColor="text1"/>
          <w:sz w:val="24"/>
          <w:szCs w:val="24"/>
        </w:rPr>
        <w:t xml:space="preserve">Each cell of breast cancer cell lines attached to </w:t>
      </w:r>
      <w:r>
        <w:rPr>
          <w:rFonts w:ascii="Arial" w:hAnsi="Arial" w:cs="Arial"/>
          <w:color w:val="000000" w:themeColor="text1"/>
          <w:sz w:val="24"/>
          <w:szCs w:val="24"/>
        </w:rPr>
        <w:t xml:space="preserve">a </w:t>
      </w:r>
      <w:r w:rsidRPr="00F166C5">
        <w:rPr>
          <w:rFonts w:ascii="Arial" w:hAnsi="Arial" w:cs="Arial"/>
          <w:color w:val="000000" w:themeColor="text1"/>
          <w:sz w:val="24"/>
          <w:szCs w:val="24"/>
        </w:rPr>
        <w:t>6-cm culture dish was harvested, washed twice with phosphate</w:t>
      </w:r>
      <w:r>
        <w:rPr>
          <w:rFonts w:ascii="Arial" w:hAnsi="Arial" w:cs="Arial"/>
          <w:color w:val="000000" w:themeColor="text1"/>
          <w:sz w:val="24"/>
          <w:szCs w:val="24"/>
        </w:rPr>
        <w:t>-</w:t>
      </w:r>
      <w:r w:rsidRPr="00F166C5">
        <w:rPr>
          <w:rFonts w:ascii="Arial" w:hAnsi="Arial" w:cs="Arial"/>
          <w:color w:val="000000" w:themeColor="text1"/>
          <w:sz w:val="24"/>
          <w:szCs w:val="24"/>
        </w:rPr>
        <w:t xml:space="preserve">buffered saline (PBS), and fixed in 70% ice-cold ethanol overnight. Fixed cells were washed, resuspended in cold PBS with 20 μg/mL RNAase, and incubated at 37 °C for 30 min. The cells were then stained with propidium iodide (PI; 50 μg/mL) and incubated on ice for 30 min. </w:t>
      </w:r>
      <w:r w:rsidRPr="00571A8F">
        <w:rPr>
          <w:rFonts w:ascii="Arial" w:hAnsi="Arial" w:cs="Arial"/>
          <w:color w:val="000000" w:themeColor="text1"/>
          <w:sz w:val="24"/>
          <w:szCs w:val="24"/>
        </w:rPr>
        <w:t xml:space="preserve">The distribution of cell cycle phases was determined using a </w:t>
      </w:r>
      <w:r w:rsidRPr="00571A8F">
        <w:rPr>
          <w:rFonts w:ascii="Arial" w:hAnsi="Arial" w:cs="Arial"/>
          <w:color w:val="000000" w:themeColor="text1"/>
          <w:sz w:val="24"/>
          <w:szCs w:val="24"/>
          <w:shd w:val="clear" w:color="auto" w:fill="FFFFFF"/>
        </w:rPr>
        <w:t>fluorescence-activated cell sorting (</w:t>
      </w:r>
      <w:r w:rsidRPr="00571A8F">
        <w:rPr>
          <w:rStyle w:val="a3"/>
          <w:rFonts w:ascii="Arial" w:eastAsiaTheme="majorEastAsia" w:hAnsi="Arial" w:cs="Arial"/>
          <w:color w:val="000000" w:themeColor="text1"/>
          <w:sz w:val="24"/>
          <w:szCs w:val="24"/>
          <w:shd w:val="clear" w:color="auto" w:fill="FFFFFF"/>
        </w:rPr>
        <w:t>FACS</w:t>
      </w:r>
      <w:r w:rsidRPr="00571A8F">
        <w:rPr>
          <w:rFonts w:ascii="Arial" w:hAnsi="Arial" w:cs="Arial"/>
          <w:color w:val="000000" w:themeColor="text1"/>
          <w:sz w:val="24"/>
          <w:szCs w:val="24"/>
          <w:shd w:val="clear" w:color="auto" w:fill="FFFFFF"/>
        </w:rPr>
        <w:t>) </w:t>
      </w:r>
      <w:r w:rsidRPr="00571A8F">
        <w:rPr>
          <w:rFonts w:ascii="Arial" w:hAnsi="Arial" w:cs="Arial"/>
          <w:color w:val="000000" w:themeColor="text1"/>
          <w:sz w:val="24"/>
          <w:szCs w:val="24"/>
        </w:rPr>
        <w:t>flow cytometer (Becton-Dickinson), and the relative proportion of cells with DNA content indicative of G0/G1-phase, S-phase, and G2/M-phase was assessed using Cell Quest</w:t>
      </w:r>
      <w:r>
        <w:rPr>
          <w:rFonts w:ascii="Arial" w:hAnsi="Arial" w:cs="Arial"/>
          <w:color w:val="000000" w:themeColor="text1"/>
          <w:sz w:val="24"/>
          <w:szCs w:val="24"/>
        </w:rPr>
        <w:t>.</w:t>
      </w:r>
      <w:r w:rsidRPr="00571A8F">
        <w:rPr>
          <w:rFonts w:ascii="Arial" w:hAnsi="Arial" w:cs="Arial"/>
          <w:color w:val="000000" w:themeColor="text1"/>
          <w:sz w:val="24"/>
          <w:szCs w:val="24"/>
          <w:vertAlign w:val="superscript"/>
        </w:rPr>
        <w:t>26</w:t>
      </w:r>
    </w:p>
    <w:p w:rsidR="00816486" w:rsidRDefault="00816486" w:rsidP="00816486">
      <w:pPr>
        <w:pStyle w:val="MDPI22heading2"/>
        <w:adjustRightInd/>
        <w:snapToGrid/>
        <w:spacing w:before="0" w:after="0" w:line="480" w:lineRule="auto"/>
        <w:rPr>
          <w:rFonts w:ascii="Arial" w:eastAsiaTheme="minorEastAsia" w:hAnsi="Arial" w:cs="Arial"/>
          <w:i w:val="0"/>
          <w:noProof w:val="0"/>
          <w:color w:val="000000" w:themeColor="text1"/>
          <w:sz w:val="24"/>
          <w:szCs w:val="24"/>
          <w:lang w:eastAsia="zh-TW"/>
        </w:rPr>
      </w:pPr>
    </w:p>
    <w:p w:rsidR="00816486" w:rsidRPr="007A2DCE" w:rsidRDefault="00816486" w:rsidP="00816486">
      <w:pPr>
        <w:pStyle w:val="MDPI22heading2"/>
        <w:adjustRightInd/>
        <w:snapToGrid/>
        <w:spacing w:before="0" w:after="0" w:line="480" w:lineRule="auto"/>
        <w:rPr>
          <w:rFonts w:ascii="Arial" w:hAnsi="Arial" w:cs="Arial"/>
          <w:b/>
          <w:bCs/>
          <w:i w:val="0"/>
          <w:iCs/>
          <w:noProof w:val="0"/>
          <w:color w:val="000000" w:themeColor="text1"/>
          <w:sz w:val="24"/>
          <w:szCs w:val="24"/>
        </w:rPr>
      </w:pPr>
      <w:r w:rsidRPr="007A2DCE">
        <w:rPr>
          <w:rFonts w:ascii="Arial" w:hAnsi="Arial" w:cs="Arial"/>
          <w:b/>
          <w:bCs/>
          <w:i w:val="0"/>
          <w:iCs/>
          <w:noProof w:val="0"/>
          <w:color w:val="000000" w:themeColor="text1"/>
          <w:sz w:val="24"/>
          <w:szCs w:val="24"/>
        </w:rPr>
        <w:t>Apoptosis analysis using flow cytometry</w:t>
      </w:r>
    </w:p>
    <w:p w:rsidR="00816486" w:rsidRPr="00EB23E7" w:rsidRDefault="00816486" w:rsidP="00816486">
      <w:pPr>
        <w:spacing w:line="480" w:lineRule="auto"/>
        <w:jc w:val="both"/>
        <w:rPr>
          <w:rFonts w:ascii="Arial" w:hAnsi="Arial" w:cs="Arial"/>
          <w:color w:val="000000" w:themeColor="text1"/>
          <w:szCs w:val="24"/>
        </w:rPr>
      </w:pPr>
      <w:r w:rsidRPr="00EB23E7">
        <w:rPr>
          <w:rFonts w:ascii="Arial" w:hAnsi="Arial" w:cs="Arial"/>
          <w:color w:val="000000" w:themeColor="text1"/>
          <w:szCs w:val="24"/>
        </w:rPr>
        <w:t xml:space="preserve">The number of apoptotic cells was determined using a FITC Annexin V Dead Cell Apoptosis Kit (V13242, Invitrogen, Waltham, MA, USA). Briefly, the </w:t>
      </w:r>
      <w:r w:rsidRPr="00EB23E7">
        <w:rPr>
          <w:rFonts w:ascii="Arial" w:hAnsi="Arial" w:cs="Arial"/>
        </w:rPr>
        <w:t>untreated</w:t>
      </w:r>
      <w:r w:rsidRPr="00EB23E7" w:rsidDel="00873CCF">
        <w:rPr>
          <w:rFonts w:ascii="Arial" w:hAnsi="Arial" w:cs="Arial"/>
          <w:color w:val="000000" w:themeColor="text1"/>
          <w:szCs w:val="24"/>
        </w:rPr>
        <w:t xml:space="preserve"> </w:t>
      </w:r>
      <w:r w:rsidRPr="00EB23E7">
        <w:rPr>
          <w:rFonts w:ascii="Arial" w:hAnsi="Arial" w:cs="Arial"/>
          <w:color w:val="000000" w:themeColor="text1"/>
          <w:szCs w:val="24"/>
        </w:rPr>
        <w:t>control cells, scramble control cells (</w:t>
      </w:r>
      <w:r w:rsidRPr="00EB3C09">
        <w:rPr>
          <w:rFonts w:ascii="Arial" w:hAnsi="Arial" w:cs="Arial"/>
          <w:color w:val="000000" w:themeColor="text1"/>
          <w:szCs w:val="24"/>
        </w:rPr>
        <w:t>pGIPZ vector</w:t>
      </w:r>
      <w:r w:rsidRPr="00EB23E7">
        <w:rPr>
          <w:rFonts w:ascii="Arial" w:hAnsi="Arial" w:cs="Arial"/>
          <w:color w:val="000000" w:themeColor="text1"/>
          <w:szCs w:val="24"/>
        </w:rPr>
        <w:t>), and shMAP3K1-transfected MCF7 and T-47D cells were washed with PBS, and then resuspended in 500 μL annexin-binding buffer at a concentration of 1 × 10</w:t>
      </w:r>
      <w:r w:rsidRPr="00EB23E7">
        <w:rPr>
          <w:rFonts w:ascii="Arial" w:hAnsi="Arial" w:cs="Arial"/>
          <w:color w:val="000000" w:themeColor="text1"/>
          <w:szCs w:val="24"/>
          <w:vertAlign w:val="superscript"/>
        </w:rPr>
        <w:t>6</w:t>
      </w:r>
      <w:r w:rsidRPr="00EB23E7">
        <w:rPr>
          <w:rFonts w:ascii="Arial" w:hAnsi="Arial" w:cs="Arial"/>
          <w:color w:val="000000" w:themeColor="text1"/>
          <w:szCs w:val="24"/>
        </w:rPr>
        <w:t xml:space="preserve"> cells/mL. Subsequently, the cells were incubated with 5 μL Annexin V-FITC and 1 µL PI (100 μg/mL) at </w:t>
      </w:r>
      <w:r w:rsidRPr="00F166C5">
        <w:rPr>
          <w:rFonts w:ascii="Arial" w:hAnsi="Arial" w:cs="Arial"/>
          <w:color w:val="000000" w:themeColor="text1"/>
          <w:szCs w:val="24"/>
          <w:shd w:val="clear" w:color="auto" w:fill="FFFFFF"/>
        </w:rPr>
        <w:t>37 °C</w:t>
      </w:r>
      <w:r w:rsidRPr="00EB23E7" w:rsidDel="00394B0E">
        <w:rPr>
          <w:rFonts w:ascii="Arial" w:hAnsi="Arial" w:cs="Arial"/>
          <w:color w:val="000000" w:themeColor="text1"/>
          <w:szCs w:val="24"/>
        </w:rPr>
        <w:t xml:space="preserve"> </w:t>
      </w:r>
      <w:r w:rsidRPr="00EB23E7">
        <w:rPr>
          <w:rFonts w:ascii="Arial" w:hAnsi="Arial" w:cs="Arial"/>
          <w:color w:val="000000" w:themeColor="text1"/>
          <w:szCs w:val="24"/>
        </w:rPr>
        <w:t xml:space="preserve">in the dark for 15 min. The percentage of apoptotic </w:t>
      </w:r>
      <w:r w:rsidRPr="00EB23E7">
        <w:rPr>
          <w:rFonts w:ascii="Arial" w:hAnsi="Arial" w:cs="Arial"/>
          <w:color w:val="000000" w:themeColor="text1"/>
          <w:szCs w:val="24"/>
        </w:rPr>
        <w:lastRenderedPageBreak/>
        <w:t>cells was evaluated immediately using the FACSCalibur flow cytometer (Becton-Dickinson)</w:t>
      </w:r>
      <w:r w:rsidR="002322B3">
        <w:rPr>
          <w:rFonts w:ascii="Arial" w:hAnsi="Arial" w:cs="Arial" w:hint="eastAsia"/>
          <w:color w:val="000000" w:themeColor="text1"/>
          <w:szCs w:val="24"/>
        </w:rPr>
        <w:t xml:space="preserve"> [26]</w:t>
      </w:r>
      <w:r>
        <w:rPr>
          <w:rFonts w:ascii="Arial" w:hAnsi="Arial" w:cs="Arial"/>
          <w:color w:val="000000" w:themeColor="text1"/>
          <w:szCs w:val="24"/>
        </w:rPr>
        <w:t>.</w:t>
      </w:r>
    </w:p>
    <w:p w:rsidR="003C26AF" w:rsidRDefault="003C26AF"/>
    <w:p w:rsidR="003C12CE" w:rsidRPr="00121FF9" w:rsidRDefault="003C12CE" w:rsidP="003C12CE">
      <w:pPr>
        <w:pStyle w:val="MDPI22heading2"/>
        <w:adjustRightInd/>
        <w:snapToGrid/>
        <w:spacing w:before="0" w:after="0" w:line="480" w:lineRule="auto"/>
        <w:rPr>
          <w:rFonts w:ascii="Arial" w:eastAsia="Univers-Bold" w:hAnsi="Arial" w:cs="Arial"/>
          <w:b/>
          <w:bCs/>
          <w:i w:val="0"/>
          <w:iCs/>
          <w:sz w:val="24"/>
          <w:szCs w:val="24"/>
        </w:rPr>
      </w:pPr>
      <w:r w:rsidRPr="00121FF9">
        <w:rPr>
          <w:rFonts w:ascii="Arial" w:eastAsia="Univers-Bold" w:hAnsi="Arial" w:cs="Arial"/>
          <w:b/>
          <w:bCs/>
          <w:i w:val="0"/>
          <w:iCs/>
          <w:sz w:val="24"/>
          <w:szCs w:val="24"/>
        </w:rPr>
        <w:t xml:space="preserve">Luciferase assay </w:t>
      </w:r>
    </w:p>
    <w:p w:rsidR="003C12CE" w:rsidRPr="00B01B78" w:rsidRDefault="003C12CE" w:rsidP="003C12CE">
      <w:pPr>
        <w:pStyle w:val="MDPI31text"/>
        <w:adjustRightInd/>
        <w:snapToGrid/>
        <w:spacing w:line="480" w:lineRule="auto"/>
        <w:ind w:firstLine="0"/>
        <w:rPr>
          <w:rFonts w:ascii="Arial" w:eastAsia="Univers-Bold" w:hAnsi="Arial" w:cs="Arial"/>
          <w:sz w:val="24"/>
          <w:szCs w:val="24"/>
        </w:rPr>
      </w:pPr>
      <w:r w:rsidRPr="00F166C5">
        <w:rPr>
          <w:rFonts w:ascii="Arial" w:eastAsia="Univers-Bold" w:hAnsi="Arial" w:cs="Arial"/>
          <w:sz w:val="24"/>
          <w:szCs w:val="24"/>
        </w:rPr>
        <w:t xml:space="preserve">For the NF-κB promoter analysis, </w:t>
      </w:r>
      <w:r w:rsidRPr="00F166C5">
        <w:rPr>
          <w:rFonts w:ascii="Arial" w:hAnsi="Arial" w:cs="Arial"/>
          <w:sz w:val="24"/>
          <w:szCs w:val="24"/>
          <w:shd w:val="clear" w:color="auto" w:fill="FFFFFF"/>
        </w:rPr>
        <w:t>MCF7</w:t>
      </w:r>
      <w:r w:rsidRPr="00F166C5">
        <w:rPr>
          <w:rFonts w:ascii="Arial" w:eastAsia="Univers-Bold" w:hAnsi="Arial" w:cs="Arial"/>
          <w:sz w:val="24"/>
          <w:szCs w:val="24"/>
        </w:rPr>
        <w:t xml:space="preserve"> and </w:t>
      </w:r>
      <w:r w:rsidRPr="00F166C5">
        <w:rPr>
          <w:rFonts w:ascii="Arial" w:hAnsi="Arial" w:cs="Arial"/>
          <w:sz w:val="24"/>
          <w:szCs w:val="24"/>
        </w:rPr>
        <w:t>T-47D</w:t>
      </w:r>
      <w:r w:rsidRPr="00F166C5">
        <w:rPr>
          <w:rFonts w:ascii="Arial" w:eastAsia="Univers-Bold" w:hAnsi="Arial" w:cs="Arial"/>
          <w:sz w:val="24"/>
          <w:szCs w:val="24"/>
        </w:rPr>
        <w:t xml:space="preserve"> cells were transfected with 5 µg of NF-κB-Luc reporter plasmid DNA</w:t>
      </w:r>
      <w:r>
        <w:rPr>
          <w:rFonts w:ascii="Arial" w:eastAsia="Univers-Bold" w:hAnsi="Arial" w:cs="Arial"/>
          <w:sz w:val="24"/>
          <w:szCs w:val="24"/>
        </w:rPr>
        <w:t>, containing luciferase gene under the control of NF-kB promoter</w:t>
      </w:r>
      <w:r w:rsidRPr="00F166C5">
        <w:rPr>
          <w:rFonts w:ascii="Arial" w:eastAsia="Univers-Bold" w:hAnsi="Arial" w:cs="Arial"/>
          <w:sz w:val="24"/>
          <w:szCs w:val="24"/>
        </w:rPr>
        <w:t xml:space="preserve"> (BD Bioscience, Clontech, Palo Alto, CA, USA) for 6 h by using Trans</w:t>
      </w:r>
      <w:r>
        <w:rPr>
          <w:rFonts w:ascii="Arial" w:eastAsia="Univers-Bold" w:hAnsi="Arial" w:cs="Arial"/>
          <w:sz w:val="24"/>
          <w:szCs w:val="24"/>
        </w:rPr>
        <w:t>F</w:t>
      </w:r>
      <w:r w:rsidRPr="00F166C5">
        <w:rPr>
          <w:rFonts w:ascii="Arial" w:eastAsia="Univers-Bold" w:hAnsi="Arial" w:cs="Arial"/>
          <w:sz w:val="24"/>
          <w:szCs w:val="24"/>
        </w:rPr>
        <w:t xml:space="preserve">ast Transfection Reagent (Promega, Madison, WI, USA). The luciferase activity of the cell lysates was measured according to the luciferase assay kit manual (Promega) and normalized </w:t>
      </w:r>
      <w:r>
        <w:rPr>
          <w:rFonts w:ascii="Arial" w:eastAsia="Univers-Bold" w:hAnsi="Arial" w:cs="Arial"/>
          <w:sz w:val="24"/>
          <w:szCs w:val="24"/>
        </w:rPr>
        <w:t>to</w:t>
      </w:r>
      <w:r w:rsidRPr="00F166C5">
        <w:rPr>
          <w:rFonts w:ascii="Arial" w:eastAsia="Univers-Bold" w:hAnsi="Arial" w:cs="Arial"/>
          <w:sz w:val="24"/>
          <w:szCs w:val="24"/>
        </w:rPr>
        <w:t xml:space="preserve"> the amount</w:t>
      </w:r>
      <w:r>
        <w:rPr>
          <w:rFonts w:ascii="Arial" w:eastAsia="Univers-Bold" w:hAnsi="Arial" w:cs="Arial"/>
          <w:sz w:val="24"/>
          <w:szCs w:val="24"/>
        </w:rPr>
        <w:t>s</w:t>
      </w:r>
      <w:r w:rsidRPr="00F166C5">
        <w:rPr>
          <w:rFonts w:ascii="Arial" w:eastAsia="Univers-Bold" w:hAnsi="Arial" w:cs="Arial"/>
          <w:sz w:val="24"/>
          <w:szCs w:val="24"/>
        </w:rPr>
        <w:t xml:space="preserve"> of protein in each cell lysate</w:t>
      </w:r>
      <w:r w:rsidR="002322B3">
        <w:rPr>
          <w:rFonts w:ascii="Arial" w:eastAsia="Univers-Bold" w:hAnsi="Arial" w:cs="Arial" w:hint="eastAsia"/>
          <w:sz w:val="24"/>
          <w:szCs w:val="24"/>
          <w:lang w:eastAsia="zh-TW"/>
        </w:rPr>
        <w:t xml:space="preserve"> [27]</w:t>
      </w:r>
      <w:r>
        <w:rPr>
          <w:rFonts w:ascii="Arial" w:eastAsia="Univers-Bold" w:hAnsi="Arial" w:cs="Arial"/>
          <w:sz w:val="24"/>
          <w:szCs w:val="24"/>
        </w:rPr>
        <w:t>.</w:t>
      </w:r>
    </w:p>
    <w:p w:rsidR="003C12CE" w:rsidRDefault="003C12CE"/>
    <w:p w:rsidR="006A4963" w:rsidRPr="00121FF9" w:rsidRDefault="006A4963" w:rsidP="006A4963">
      <w:pPr>
        <w:pStyle w:val="MDPI22heading2"/>
        <w:adjustRightInd/>
        <w:snapToGrid/>
        <w:spacing w:before="0" w:after="0" w:line="480" w:lineRule="auto"/>
        <w:rPr>
          <w:rFonts w:ascii="Arial" w:hAnsi="Arial" w:cs="Arial"/>
          <w:b/>
          <w:bCs/>
          <w:i w:val="0"/>
          <w:iCs/>
          <w:sz w:val="24"/>
          <w:szCs w:val="24"/>
        </w:rPr>
      </w:pPr>
      <w:r w:rsidRPr="00121FF9">
        <w:rPr>
          <w:rFonts w:ascii="Arial" w:hAnsi="Arial" w:cs="Arial"/>
          <w:b/>
          <w:bCs/>
          <w:i w:val="0"/>
          <w:iCs/>
          <w:sz w:val="24"/>
          <w:szCs w:val="24"/>
        </w:rPr>
        <w:t>Immunoblotting analysis</w:t>
      </w:r>
    </w:p>
    <w:p w:rsidR="006A4963" w:rsidRPr="00F166C5" w:rsidRDefault="006A4963" w:rsidP="006A4963">
      <w:pPr>
        <w:pStyle w:val="MDPI31text"/>
        <w:adjustRightInd/>
        <w:snapToGrid/>
        <w:spacing w:line="480" w:lineRule="auto"/>
        <w:ind w:firstLine="0"/>
        <w:rPr>
          <w:rFonts w:ascii="Arial" w:eastAsiaTheme="minorEastAsia" w:hAnsi="Arial" w:cs="Arial"/>
          <w:color w:val="FF0000"/>
          <w:sz w:val="24"/>
          <w:szCs w:val="24"/>
          <w:lang w:eastAsia="zh-TW"/>
        </w:rPr>
      </w:pPr>
      <w:r w:rsidRPr="00F166C5">
        <w:rPr>
          <w:rFonts w:ascii="Arial" w:hAnsi="Arial" w:cs="Arial"/>
          <w:sz w:val="24"/>
          <w:szCs w:val="24"/>
        </w:rPr>
        <w:t>Whole</w:t>
      </w:r>
      <w:r>
        <w:rPr>
          <w:rFonts w:ascii="Arial" w:hAnsi="Arial" w:cs="Arial"/>
          <w:sz w:val="24"/>
          <w:szCs w:val="24"/>
        </w:rPr>
        <w:t>-</w:t>
      </w:r>
      <w:r w:rsidRPr="00F166C5">
        <w:rPr>
          <w:rFonts w:ascii="Arial" w:hAnsi="Arial" w:cs="Arial"/>
          <w:sz w:val="24"/>
          <w:szCs w:val="24"/>
        </w:rPr>
        <w:t>cell lysates and nuclear lysates were harvested from each cell subclone. Equal amounts of protein extracts were fractionated on sodium dodecyl sulfate (SDS)-Tris glycine polyacrylamide gel electrophoresis (PAGE) gel and then electrophoretically transferred to polyvinylidene difluoride (PVDF) membrane (Millipore). Primary antibodies against the following molecules were used for the analysis: MAP3K1 (clone 256, Abgent, San Diego, CA, USA)</w:t>
      </w:r>
      <w:r w:rsidR="002322B3">
        <w:rPr>
          <w:rFonts w:ascii="Arial" w:hAnsi="Arial" w:cs="Arial"/>
          <w:sz w:val="24"/>
          <w:szCs w:val="24"/>
        </w:rPr>
        <w:t xml:space="preserve"> [28]</w:t>
      </w:r>
      <w:r>
        <w:rPr>
          <w:rFonts w:ascii="Arial" w:hAnsi="Arial" w:cs="Arial"/>
          <w:sz w:val="24"/>
          <w:szCs w:val="24"/>
        </w:rPr>
        <w:t>,</w:t>
      </w:r>
      <w:bookmarkStart w:id="0" w:name="_GoBack"/>
      <w:bookmarkEnd w:id="0"/>
      <w:r w:rsidRPr="00F166C5">
        <w:rPr>
          <w:rFonts w:ascii="Arial" w:hAnsi="Arial" w:cs="Arial"/>
          <w:sz w:val="24"/>
          <w:szCs w:val="24"/>
        </w:rPr>
        <w:t xml:space="preserve"> Bcl-2 </w:t>
      </w:r>
      <w:r w:rsidRPr="002E0618">
        <w:rPr>
          <w:rFonts w:ascii="Arial" w:hAnsi="Arial" w:cs="Arial"/>
          <w:sz w:val="24"/>
          <w:szCs w:val="24"/>
        </w:rPr>
        <w:t>(</w:t>
      </w:r>
      <w:r w:rsidRPr="0039494F">
        <w:rPr>
          <w:rStyle w:val="a3"/>
          <w:rFonts w:ascii="Arial" w:hAnsi="Arial" w:cs="Arial"/>
          <w:i w:val="0"/>
          <w:iCs w:val="0"/>
          <w:color w:val="000000" w:themeColor="text1"/>
          <w:sz w:val="24"/>
          <w:szCs w:val="24"/>
          <w:shd w:val="clear" w:color="auto" w:fill="FFFFFF"/>
        </w:rPr>
        <w:t>DAKO</w:t>
      </w:r>
      <w:r w:rsidRPr="002E0618">
        <w:rPr>
          <w:rFonts w:ascii="Arial" w:hAnsi="Arial" w:cs="Arial"/>
          <w:sz w:val="24"/>
          <w:szCs w:val="24"/>
          <w:shd w:val="clear" w:color="auto" w:fill="FFFFFF"/>
        </w:rPr>
        <w:t>,</w:t>
      </w:r>
      <w:r w:rsidRPr="00F166C5">
        <w:rPr>
          <w:rFonts w:ascii="Arial" w:hAnsi="Arial" w:cs="Arial"/>
          <w:sz w:val="24"/>
          <w:szCs w:val="24"/>
          <w:shd w:val="clear" w:color="auto" w:fill="FFFFFF"/>
        </w:rPr>
        <w:t xml:space="preserve"> Glostrup, Denmark; Code No. M887, Lot 063)</w:t>
      </w:r>
      <w:r w:rsidRPr="00F166C5">
        <w:rPr>
          <w:rFonts w:ascii="Arial" w:hAnsi="Arial" w:cs="Arial"/>
          <w:sz w:val="24"/>
          <w:szCs w:val="24"/>
        </w:rPr>
        <w:t xml:space="preserve">, Bcl-xL (#2764; </w:t>
      </w:r>
      <w:r w:rsidRPr="00F166C5">
        <w:rPr>
          <w:rFonts w:ascii="Arial" w:hAnsi="Arial" w:cs="Arial"/>
          <w:sz w:val="24"/>
          <w:szCs w:val="24"/>
          <w:shd w:val="clear" w:color="auto" w:fill="FFFFFF"/>
        </w:rPr>
        <w:t xml:space="preserve">Cell </w:t>
      </w:r>
      <w:r w:rsidRPr="00F166C5">
        <w:rPr>
          <w:rFonts w:ascii="Arial" w:hAnsi="Arial" w:cs="Arial"/>
          <w:sz w:val="24"/>
          <w:szCs w:val="24"/>
          <w:shd w:val="clear" w:color="auto" w:fill="FFFFFF"/>
        </w:rPr>
        <w:lastRenderedPageBreak/>
        <w:t>Signaling Technology,</w:t>
      </w:r>
      <w:r w:rsidRPr="00F166C5">
        <w:rPr>
          <w:rFonts w:ascii="Arial" w:hAnsi="Arial" w:cs="Arial"/>
          <w:sz w:val="24"/>
          <w:szCs w:val="24"/>
        </w:rPr>
        <w:t xml:space="preserve"> </w:t>
      </w:r>
      <w:r w:rsidRPr="00F166C5">
        <w:rPr>
          <w:rFonts w:ascii="Arial" w:hAnsi="Arial" w:cs="Arial"/>
          <w:sz w:val="24"/>
          <w:szCs w:val="24"/>
          <w:shd w:val="clear" w:color="auto" w:fill="FFFFFF"/>
        </w:rPr>
        <w:t>Danvers, MA</w:t>
      </w:r>
      <w:r w:rsidRPr="00F166C5">
        <w:rPr>
          <w:rFonts w:ascii="Arial" w:hAnsi="Arial" w:cs="Arial"/>
          <w:sz w:val="24"/>
          <w:szCs w:val="24"/>
        </w:rPr>
        <w:t>), c-Myc (</w:t>
      </w:r>
      <w:r w:rsidRPr="00F166C5">
        <w:rPr>
          <w:rFonts w:ascii="Arial" w:hAnsi="Arial" w:cs="Arial"/>
          <w:sz w:val="24"/>
          <w:szCs w:val="24"/>
          <w:shd w:val="clear" w:color="auto" w:fill="FFFFFF"/>
        </w:rPr>
        <w:t xml:space="preserve">sc-40; Santa Cruz Biotechnology, </w:t>
      </w:r>
      <w:r w:rsidRPr="00F166C5">
        <w:rPr>
          <w:rStyle w:val="apple-style-span"/>
          <w:rFonts w:ascii="Arial" w:hAnsi="Arial" w:cs="Arial"/>
          <w:color w:val="000000" w:themeColor="text1"/>
          <w:sz w:val="24"/>
          <w:szCs w:val="24"/>
        </w:rPr>
        <w:t>Santa Cruz, CA, USA</w:t>
      </w:r>
      <w:r w:rsidRPr="00F166C5">
        <w:rPr>
          <w:rFonts w:ascii="Arial" w:hAnsi="Arial" w:cs="Arial"/>
          <w:sz w:val="24"/>
          <w:szCs w:val="24"/>
        </w:rPr>
        <w:t>), cyclin B1 (</w:t>
      </w:r>
      <w:r w:rsidRPr="00F166C5">
        <w:rPr>
          <w:rFonts w:ascii="Arial" w:hAnsi="Arial" w:cs="Arial"/>
          <w:sz w:val="24"/>
          <w:szCs w:val="24"/>
          <w:shd w:val="clear" w:color="auto" w:fill="FFFFFF"/>
        </w:rPr>
        <w:t>sc-752; Santa Cruz Biotechnology</w:t>
      </w:r>
      <w:r w:rsidRPr="00F166C5">
        <w:rPr>
          <w:rFonts w:ascii="Arial" w:hAnsi="Arial" w:cs="Arial"/>
          <w:sz w:val="24"/>
          <w:szCs w:val="24"/>
        </w:rPr>
        <w:t>), cyclin D1 (#</w:t>
      </w:r>
      <w:r w:rsidRPr="00F166C5">
        <w:rPr>
          <w:rFonts w:ascii="Arial" w:hAnsi="Arial" w:cs="Arial"/>
          <w:sz w:val="24"/>
          <w:szCs w:val="24"/>
          <w:shd w:val="clear" w:color="auto" w:fill="FFFFFF"/>
        </w:rPr>
        <w:t>2972; Cell Signaling Technology</w:t>
      </w:r>
      <w:r w:rsidRPr="00F166C5">
        <w:rPr>
          <w:rFonts w:ascii="Arial" w:hAnsi="Arial" w:cs="Arial"/>
          <w:sz w:val="24"/>
          <w:szCs w:val="24"/>
        </w:rPr>
        <w:t xml:space="preserve">), cleaved </w:t>
      </w:r>
      <w:r w:rsidRPr="00E46A72">
        <w:rPr>
          <w:rFonts w:ascii="Arial" w:hAnsi="Arial" w:cs="Arial"/>
          <w:sz w:val="24"/>
          <w:szCs w:val="24"/>
        </w:rPr>
        <w:t xml:space="preserve">poly (ADP-ribose) polymerase </w:t>
      </w:r>
      <w:r>
        <w:rPr>
          <w:rFonts w:ascii="Arial" w:hAnsi="Arial" w:cs="Arial"/>
          <w:sz w:val="24"/>
          <w:szCs w:val="24"/>
        </w:rPr>
        <w:t>(</w:t>
      </w:r>
      <w:r w:rsidRPr="00F166C5">
        <w:rPr>
          <w:rFonts w:ascii="Arial" w:hAnsi="Arial" w:cs="Arial"/>
          <w:sz w:val="24"/>
          <w:szCs w:val="24"/>
        </w:rPr>
        <w:t>PARP</w:t>
      </w:r>
      <w:r>
        <w:rPr>
          <w:rFonts w:ascii="Arial" w:hAnsi="Arial" w:cs="Arial"/>
          <w:sz w:val="24"/>
          <w:szCs w:val="24"/>
        </w:rPr>
        <w:t>;</w:t>
      </w:r>
      <w:r w:rsidRPr="00F166C5">
        <w:rPr>
          <w:rFonts w:ascii="Arial" w:hAnsi="Arial" w:cs="Arial"/>
          <w:sz w:val="24"/>
          <w:szCs w:val="24"/>
        </w:rPr>
        <w:t xml:space="preserve"> #</w:t>
      </w:r>
      <w:r w:rsidRPr="00F166C5">
        <w:rPr>
          <w:rFonts w:ascii="Arial" w:hAnsi="Arial" w:cs="Arial"/>
          <w:sz w:val="24"/>
          <w:szCs w:val="24"/>
          <w:shd w:val="clear" w:color="auto" w:fill="FFFFFF"/>
        </w:rPr>
        <w:t>5625; Cell Signaling Technology</w:t>
      </w:r>
      <w:r w:rsidRPr="00F166C5">
        <w:rPr>
          <w:rFonts w:ascii="Arial" w:hAnsi="Arial" w:cs="Arial"/>
          <w:sz w:val="24"/>
          <w:szCs w:val="24"/>
        </w:rPr>
        <w:t>), p-IκBα (</w:t>
      </w:r>
      <w:r w:rsidRPr="00F166C5">
        <w:rPr>
          <w:rFonts w:ascii="Arial" w:hAnsi="Arial" w:cs="Arial"/>
          <w:sz w:val="24"/>
          <w:szCs w:val="24"/>
          <w:shd w:val="clear" w:color="auto" w:fill="FFFFFF"/>
        </w:rPr>
        <w:t>sc-8404; Santa Cruz Biotechnology</w:t>
      </w:r>
      <w:r w:rsidRPr="00F166C5">
        <w:rPr>
          <w:rFonts w:ascii="Arial" w:hAnsi="Arial" w:cs="Arial"/>
          <w:sz w:val="24"/>
          <w:szCs w:val="24"/>
        </w:rPr>
        <w:t>), p52 (</w:t>
      </w:r>
      <w:r w:rsidRPr="00F166C5">
        <w:rPr>
          <w:rFonts w:ascii="Arial" w:hAnsi="Arial" w:cs="Arial"/>
          <w:sz w:val="24"/>
          <w:szCs w:val="24"/>
          <w:shd w:val="clear" w:color="auto" w:fill="FFFFFF"/>
        </w:rPr>
        <w:t>sc-848; Santa Cruz Biotechnology</w:t>
      </w:r>
      <w:r w:rsidRPr="00F166C5">
        <w:rPr>
          <w:rFonts w:ascii="Arial" w:hAnsi="Arial" w:cs="Arial"/>
          <w:sz w:val="24"/>
          <w:szCs w:val="24"/>
        </w:rPr>
        <w:t>), ERK (</w:t>
      </w:r>
      <w:r w:rsidRPr="00F166C5">
        <w:rPr>
          <w:rFonts w:ascii="Arial" w:hAnsi="Arial" w:cs="Arial"/>
          <w:sz w:val="24"/>
          <w:szCs w:val="24"/>
          <w:shd w:val="clear" w:color="auto" w:fill="FFFFFF"/>
        </w:rPr>
        <w:t>sc-1674; Santa Cruz Biotechnology)</w:t>
      </w:r>
      <w:r w:rsidRPr="00F166C5">
        <w:rPr>
          <w:rFonts w:ascii="Arial" w:hAnsi="Arial" w:cs="Arial"/>
          <w:sz w:val="24"/>
          <w:szCs w:val="24"/>
        </w:rPr>
        <w:t>, p-ERK (</w:t>
      </w:r>
      <w:r w:rsidRPr="00F166C5">
        <w:rPr>
          <w:rFonts w:ascii="Arial" w:eastAsia="AdvTimes" w:hAnsi="Arial" w:cs="Arial"/>
          <w:color w:val="000000" w:themeColor="text1"/>
          <w:sz w:val="24"/>
          <w:szCs w:val="24"/>
        </w:rPr>
        <w:t>phospho-p44/42 MAPK [Erk1/2] [Thr202/Tyr204]</w:t>
      </w:r>
      <w:r w:rsidRPr="00F166C5">
        <w:rPr>
          <w:rFonts w:ascii="Arial" w:hAnsi="Arial" w:cs="Arial"/>
          <w:color w:val="000000" w:themeColor="text1"/>
          <w:sz w:val="24"/>
          <w:szCs w:val="24"/>
        </w:rPr>
        <w:t xml:space="preserve"> </w:t>
      </w:r>
      <w:r w:rsidRPr="00F166C5">
        <w:rPr>
          <w:rFonts w:ascii="Arial" w:eastAsia="AdvTimes" w:hAnsi="Arial" w:cs="Arial"/>
          <w:color w:val="000000" w:themeColor="text1"/>
          <w:sz w:val="24"/>
          <w:szCs w:val="24"/>
        </w:rPr>
        <w:t>[20G11]; 4376; Cell Signaling, Danvers, MA</w:t>
      </w:r>
      <w:r w:rsidRPr="00F166C5">
        <w:rPr>
          <w:rFonts w:ascii="Arial" w:hAnsi="Arial" w:cs="Arial"/>
          <w:sz w:val="24"/>
          <w:szCs w:val="24"/>
          <w:shd w:val="clear" w:color="auto" w:fill="FFFFFF"/>
        </w:rPr>
        <w:t>)</w:t>
      </w:r>
      <w:r w:rsidRPr="00F166C5">
        <w:rPr>
          <w:rFonts w:ascii="Arial" w:hAnsi="Arial" w:cs="Arial"/>
          <w:sz w:val="24"/>
          <w:szCs w:val="24"/>
        </w:rPr>
        <w:t xml:space="preserve">, </w:t>
      </w:r>
      <w:r w:rsidRPr="006E16FD">
        <w:rPr>
          <w:rFonts w:ascii="Arial" w:hAnsi="Arial" w:cs="Arial"/>
          <w:color w:val="000000" w:themeColor="text1"/>
          <w:sz w:val="24"/>
          <w:szCs w:val="24"/>
          <w:shd w:val="clear" w:color="auto" w:fill="FFFFFF"/>
        </w:rPr>
        <w:t>matrix metalloproteinase</w:t>
      </w:r>
      <w:r w:rsidRPr="00F166C5">
        <w:rPr>
          <w:rFonts w:ascii="Arial" w:hAnsi="Arial" w:cs="Arial"/>
          <w:color w:val="000000" w:themeColor="text1"/>
          <w:sz w:val="24"/>
          <w:szCs w:val="24"/>
        </w:rPr>
        <w:t xml:space="preserve"> </w:t>
      </w:r>
      <w:r>
        <w:rPr>
          <w:rFonts w:ascii="Arial" w:hAnsi="Arial" w:cs="Arial"/>
          <w:color w:val="000000" w:themeColor="text1"/>
          <w:sz w:val="24"/>
          <w:szCs w:val="24"/>
        </w:rPr>
        <w:t>(</w:t>
      </w:r>
      <w:r w:rsidRPr="00F166C5">
        <w:rPr>
          <w:rFonts w:ascii="Arial" w:hAnsi="Arial" w:cs="Arial"/>
          <w:color w:val="000000" w:themeColor="text1"/>
          <w:sz w:val="24"/>
          <w:szCs w:val="24"/>
        </w:rPr>
        <w:t>MMP</w:t>
      </w:r>
      <w:r>
        <w:rPr>
          <w:rFonts w:ascii="Arial" w:hAnsi="Arial" w:cs="Arial"/>
          <w:color w:val="000000" w:themeColor="text1"/>
          <w:sz w:val="24"/>
          <w:szCs w:val="24"/>
        </w:rPr>
        <w:t>)</w:t>
      </w:r>
      <w:r w:rsidRPr="00F166C5">
        <w:rPr>
          <w:rFonts w:ascii="Arial" w:hAnsi="Arial" w:cs="Arial"/>
          <w:color w:val="000000" w:themeColor="text1"/>
          <w:sz w:val="24"/>
          <w:szCs w:val="24"/>
        </w:rPr>
        <w:t>-9</w:t>
      </w:r>
      <w:r w:rsidRPr="00F166C5">
        <w:rPr>
          <w:rFonts w:ascii="Arial" w:hAnsi="Arial" w:cs="Arial"/>
          <w:sz w:val="24"/>
          <w:szCs w:val="24"/>
        </w:rPr>
        <w:t xml:space="preserve"> (ab74277, Abcam, Cambridge, UK), BCL3 (</w:t>
      </w:r>
      <w:r w:rsidRPr="00F166C5">
        <w:rPr>
          <w:rFonts w:ascii="Arial" w:hAnsi="Arial" w:cs="Arial"/>
          <w:sz w:val="24"/>
          <w:szCs w:val="24"/>
          <w:shd w:val="clear" w:color="auto" w:fill="FFFFFF"/>
        </w:rPr>
        <w:t>sc-185; Santa Cruz Biotechnology</w:t>
      </w:r>
      <w:r w:rsidRPr="00F166C5">
        <w:rPr>
          <w:rFonts w:ascii="Arial" w:hAnsi="Arial" w:cs="Arial"/>
          <w:sz w:val="24"/>
          <w:szCs w:val="24"/>
        </w:rPr>
        <w:t>), p65 (</w:t>
      </w:r>
      <w:r w:rsidRPr="00F166C5">
        <w:rPr>
          <w:rFonts w:ascii="Arial" w:hAnsi="Arial" w:cs="Arial"/>
          <w:sz w:val="24"/>
          <w:szCs w:val="24"/>
          <w:shd w:val="clear" w:color="auto" w:fill="FFFFFF"/>
        </w:rPr>
        <w:t>sc-7151; Santa Cruz Biotechnology</w:t>
      </w:r>
      <w:r w:rsidRPr="00F166C5">
        <w:rPr>
          <w:rFonts w:ascii="Arial" w:hAnsi="Arial" w:cs="Arial"/>
          <w:sz w:val="24"/>
          <w:szCs w:val="24"/>
        </w:rPr>
        <w:t xml:space="preserve">), α-tubulin (CP06, Calbiochem, </w:t>
      </w:r>
      <w:r w:rsidRPr="00F166C5">
        <w:rPr>
          <w:rFonts w:ascii="Arial" w:hAnsi="Arial" w:cs="Arial"/>
          <w:sz w:val="24"/>
          <w:szCs w:val="24"/>
          <w:shd w:val="clear" w:color="auto" w:fill="FFFFFF"/>
        </w:rPr>
        <w:t>San Diego, CA, USA</w:t>
      </w:r>
      <w:r w:rsidRPr="00F166C5">
        <w:rPr>
          <w:rFonts w:ascii="Arial" w:hAnsi="Arial" w:cs="Arial"/>
          <w:sz w:val="24"/>
          <w:szCs w:val="24"/>
        </w:rPr>
        <w:t xml:space="preserve">), </w:t>
      </w:r>
      <w:r w:rsidRPr="00F166C5">
        <w:rPr>
          <w:rFonts w:ascii="Arial" w:hAnsi="Arial" w:cs="Arial"/>
          <w:color w:val="000000" w:themeColor="text1"/>
          <w:sz w:val="24"/>
          <w:szCs w:val="24"/>
        </w:rPr>
        <w:t xml:space="preserve">β-actin (A5316, Sigma-Aldrich, </w:t>
      </w:r>
      <w:r w:rsidRPr="00F166C5">
        <w:rPr>
          <w:rFonts w:ascii="Arial" w:hAnsi="Arial" w:cs="Arial"/>
          <w:color w:val="000000" w:themeColor="text1"/>
          <w:sz w:val="24"/>
          <w:szCs w:val="24"/>
          <w:shd w:val="clear" w:color="auto" w:fill="FFFFFF"/>
        </w:rPr>
        <w:t>MO, USA</w:t>
      </w:r>
      <w:r w:rsidRPr="00F166C5">
        <w:rPr>
          <w:rFonts w:ascii="Arial" w:hAnsi="Arial" w:cs="Arial"/>
          <w:color w:val="000000" w:themeColor="text1"/>
          <w:sz w:val="24"/>
          <w:szCs w:val="24"/>
        </w:rPr>
        <w:t>),</w:t>
      </w:r>
      <w:r w:rsidRPr="00F166C5">
        <w:rPr>
          <w:rFonts w:ascii="Arial" w:eastAsiaTheme="minorEastAsia" w:hAnsi="Arial" w:cs="Arial"/>
          <w:color w:val="000000" w:themeColor="text1"/>
          <w:sz w:val="24"/>
          <w:szCs w:val="24"/>
          <w:lang w:eastAsia="zh-TW"/>
        </w:rPr>
        <w:t xml:space="preserve"> </w:t>
      </w:r>
      <w:r w:rsidRPr="00F166C5">
        <w:rPr>
          <w:rFonts w:ascii="Arial" w:hAnsi="Arial" w:cs="Arial"/>
          <w:color w:val="000000" w:themeColor="text1"/>
          <w:sz w:val="24"/>
          <w:szCs w:val="24"/>
        </w:rPr>
        <w:t>a</w:t>
      </w:r>
      <w:r w:rsidRPr="00F166C5">
        <w:rPr>
          <w:rFonts w:ascii="Arial" w:hAnsi="Arial" w:cs="Arial"/>
          <w:sz w:val="24"/>
          <w:szCs w:val="24"/>
        </w:rPr>
        <w:t xml:space="preserve">nd </w:t>
      </w:r>
      <w:r w:rsidRPr="00F166C5">
        <w:rPr>
          <w:rFonts w:ascii="Arial" w:eastAsia="BSGulliver" w:hAnsi="Arial" w:cs="Arial"/>
          <w:sz w:val="24"/>
          <w:szCs w:val="24"/>
        </w:rPr>
        <w:t>Ku80</w:t>
      </w:r>
      <w:r w:rsidRPr="00F166C5">
        <w:rPr>
          <w:rFonts w:ascii="Arial" w:eastAsiaTheme="minorEastAsia" w:hAnsi="Arial" w:cs="Arial"/>
          <w:sz w:val="24"/>
          <w:szCs w:val="24"/>
        </w:rPr>
        <w:t xml:space="preserve"> </w:t>
      </w:r>
      <w:r w:rsidRPr="00F166C5">
        <w:rPr>
          <w:rFonts w:ascii="Arial" w:eastAsia="BSGulliver" w:hAnsi="Arial" w:cs="Arial"/>
          <w:sz w:val="24"/>
          <w:szCs w:val="24"/>
        </w:rPr>
        <w:t>(#2180; Cell Signaling Technology)</w:t>
      </w:r>
      <w:r w:rsidR="002322B3" w:rsidRPr="002322B3">
        <w:rPr>
          <w:rFonts w:ascii="Arial" w:eastAsiaTheme="minorEastAsia" w:hAnsi="Arial" w:cs="Arial"/>
          <w:sz w:val="24"/>
          <w:szCs w:val="24"/>
          <w:lang w:eastAsia="zh-TW"/>
        </w:rPr>
        <w:t xml:space="preserve"> [27, 29, 30]</w:t>
      </w:r>
      <w:r w:rsidR="002322B3">
        <w:rPr>
          <w:rFonts w:ascii="Arial" w:eastAsiaTheme="minorEastAsia" w:hAnsi="Arial" w:cs="Arial"/>
          <w:sz w:val="24"/>
          <w:szCs w:val="24"/>
          <w:lang w:eastAsia="zh-TW"/>
        </w:rPr>
        <w:t>.</w:t>
      </w:r>
      <w:r w:rsidRPr="00F166C5">
        <w:rPr>
          <w:rFonts w:ascii="Arial" w:hAnsi="Arial" w:cs="Arial"/>
          <w:sz w:val="24"/>
          <w:szCs w:val="24"/>
        </w:rPr>
        <w:t xml:space="preserve"> The specific reactive bands on membranes were probed using appropriate secondary IgG antibodies conjugated to horseradish peroxidase. The immune complexes were visualized using an enhanced chemiluminescence detection system (ECL, Boehringer Mannheim, Mannheim)</w:t>
      </w:r>
      <w:r>
        <w:rPr>
          <w:rFonts w:ascii="Arial" w:hAnsi="Arial" w:cs="Arial"/>
          <w:sz w:val="24"/>
          <w:szCs w:val="24"/>
        </w:rPr>
        <w:t>,</w:t>
      </w:r>
      <w:r w:rsidRPr="00F166C5">
        <w:rPr>
          <w:rFonts w:ascii="Arial" w:hAnsi="Arial" w:cs="Arial"/>
          <w:sz w:val="24"/>
          <w:szCs w:val="24"/>
        </w:rPr>
        <w:t xml:space="preserve"> and quantification was performed using the Image Quant software (GE Healthcare).</w:t>
      </w:r>
      <w:r w:rsidRPr="00F166C5">
        <w:rPr>
          <w:rFonts w:ascii="Arial" w:eastAsiaTheme="minorEastAsia" w:hAnsi="Arial" w:cs="Arial"/>
          <w:sz w:val="24"/>
          <w:szCs w:val="24"/>
          <w:lang w:eastAsia="zh-TW"/>
        </w:rPr>
        <w:t xml:space="preserve"> </w:t>
      </w:r>
    </w:p>
    <w:p w:rsidR="006A4963" w:rsidRDefault="006A4963"/>
    <w:p w:rsidR="0088166E" w:rsidRDefault="0088166E"/>
    <w:p w:rsidR="0088166E" w:rsidRPr="0088166E" w:rsidRDefault="0088166E">
      <w:pPr>
        <w:rPr>
          <w:rFonts w:ascii="Arial" w:hAnsi="Arial" w:cs="Arial"/>
          <w:b/>
          <w:bCs/>
        </w:rPr>
      </w:pPr>
      <w:r w:rsidRPr="0088166E">
        <w:rPr>
          <w:rFonts w:ascii="Arial" w:hAnsi="Arial" w:cs="Arial"/>
          <w:b/>
          <w:bCs/>
        </w:rPr>
        <w:t>References</w:t>
      </w:r>
      <w:r>
        <w:rPr>
          <w:rFonts w:ascii="Arial" w:hAnsi="Arial" w:cs="Arial"/>
          <w:b/>
          <w:bCs/>
        </w:rPr>
        <w:t xml:space="preserve">: </w:t>
      </w:r>
      <w:r w:rsidRPr="0088166E">
        <w:rPr>
          <w:rFonts w:ascii="Arial" w:hAnsi="Arial" w:cs="Arial"/>
          <w:b/>
          <w:bCs/>
        </w:rPr>
        <w:t>in the main manuscript</w:t>
      </w:r>
    </w:p>
    <w:p w:rsidR="0088166E" w:rsidRPr="0088166E" w:rsidRDefault="0088166E"/>
    <w:sectPr w:rsidR="0088166E" w:rsidRPr="0088166E" w:rsidSect="003C26A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66E" w:rsidRDefault="0088166E" w:rsidP="0088166E">
      <w:r>
        <w:separator/>
      </w:r>
    </w:p>
  </w:endnote>
  <w:endnote w:type="continuationSeparator" w:id="0">
    <w:p w:rsidR="0088166E" w:rsidRDefault="0088166E" w:rsidP="0088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Univers-Bold">
    <w:altName w:val="細明體"/>
    <w:panose1 w:val="00000000000000000000"/>
    <w:charset w:val="88"/>
    <w:family w:val="auto"/>
    <w:notTrueType/>
    <w:pitch w:val="default"/>
    <w:sig w:usb0="00000001" w:usb1="08080000" w:usb2="00000010" w:usb3="00000000" w:csb0="00100000" w:csb1="00000000"/>
  </w:font>
  <w:font w:name="AdvTimes">
    <w:altName w:val="MS Gothic"/>
    <w:panose1 w:val="00000000000000000000"/>
    <w:charset w:val="80"/>
    <w:family w:val="auto"/>
    <w:notTrueType/>
    <w:pitch w:val="default"/>
    <w:sig w:usb0="00000000" w:usb1="08070000" w:usb2="00000010" w:usb3="00000000" w:csb0="00020000" w:csb1="00000000"/>
  </w:font>
  <w:font w:name="BSGullive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66E" w:rsidRDefault="0088166E" w:rsidP="0088166E">
      <w:r>
        <w:separator/>
      </w:r>
    </w:p>
  </w:footnote>
  <w:footnote w:type="continuationSeparator" w:id="0">
    <w:p w:rsidR="0088166E" w:rsidRDefault="0088166E" w:rsidP="00881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86"/>
    <w:rsid w:val="001D6446"/>
    <w:rsid w:val="002322B3"/>
    <w:rsid w:val="002D2258"/>
    <w:rsid w:val="0039494F"/>
    <w:rsid w:val="003C12CE"/>
    <w:rsid w:val="003C26AF"/>
    <w:rsid w:val="006A4963"/>
    <w:rsid w:val="00816486"/>
    <w:rsid w:val="0088166E"/>
    <w:rsid w:val="00D634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8FD4C"/>
  <w15:chartTrackingRefBased/>
  <w15:docId w15:val="{93E2FEA6-C3B8-4579-83D2-D1760B36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486"/>
    <w:pPr>
      <w:widowControl w:val="0"/>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816486"/>
    <w:rPr>
      <w:rFonts w:cs="Times New Roman"/>
      <w:i/>
      <w:iCs/>
    </w:rPr>
  </w:style>
  <w:style w:type="paragraph" w:customStyle="1" w:styleId="MDPI22heading2">
    <w:name w:val="MDPI_2.2_heading2"/>
    <w:qFormat/>
    <w:rsid w:val="00816486"/>
    <w:pPr>
      <w:adjustRightInd w:val="0"/>
      <w:snapToGrid w:val="0"/>
      <w:spacing w:before="240" w:after="120" w:line="260" w:lineRule="atLeast"/>
      <w:outlineLvl w:val="1"/>
    </w:pPr>
    <w:rPr>
      <w:rFonts w:ascii="Palatino Linotype" w:eastAsia="Times New Roman" w:hAnsi="Palatino Linotype" w:cs="Times New Roman"/>
      <w:i/>
      <w:noProof/>
      <w:snapToGrid w:val="0"/>
      <w:color w:val="000000"/>
      <w:kern w:val="0"/>
      <w:sz w:val="20"/>
      <w:lang w:eastAsia="de-DE" w:bidi="en-US"/>
    </w:rPr>
  </w:style>
  <w:style w:type="paragraph" w:customStyle="1" w:styleId="MDPI31text">
    <w:name w:val="MDPI_3.1_text"/>
    <w:qFormat/>
    <w:rsid w:val="00816486"/>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12title">
    <w:name w:val="MDPI_1.2_title"/>
    <w:next w:val="a"/>
    <w:qFormat/>
    <w:rsid w:val="00816486"/>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next w:val="a"/>
    <w:qFormat/>
    <w:rsid w:val="00816486"/>
    <w:pPr>
      <w:adjustRightInd w:val="0"/>
      <w:snapToGrid w:val="0"/>
      <w:spacing w:after="120" w:line="260" w:lineRule="atLeast"/>
    </w:pPr>
    <w:rPr>
      <w:rFonts w:ascii="Palatino Linotype" w:eastAsia="Times New Roman" w:hAnsi="Palatino Linotype" w:cs="Times New Roman"/>
      <w:b/>
      <w:color w:val="000000"/>
      <w:kern w:val="0"/>
      <w:sz w:val="20"/>
      <w:lang w:eastAsia="de-DE" w:bidi="en-US"/>
    </w:rPr>
  </w:style>
  <w:style w:type="paragraph" w:customStyle="1" w:styleId="Default">
    <w:name w:val="Default"/>
    <w:rsid w:val="003C12CE"/>
    <w:pPr>
      <w:widowControl w:val="0"/>
      <w:autoSpaceDE w:val="0"/>
      <w:autoSpaceDN w:val="0"/>
      <w:adjustRightInd w:val="0"/>
    </w:pPr>
    <w:rPr>
      <w:rFonts w:ascii="Verdana" w:hAnsi="Verdana" w:cs="Verdana"/>
      <w:color w:val="000000"/>
      <w:kern w:val="0"/>
      <w:szCs w:val="24"/>
    </w:rPr>
  </w:style>
  <w:style w:type="character" w:customStyle="1" w:styleId="apple-style-span">
    <w:name w:val="apple-style-span"/>
    <w:uiPriority w:val="99"/>
    <w:rsid w:val="006A4963"/>
    <w:rPr>
      <w:rFonts w:cs="Times New Roman"/>
    </w:rPr>
  </w:style>
  <w:style w:type="paragraph" w:styleId="a4">
    <w:name w:val="header"/>
    <w:basedOn w:val="a"/>
    <w:link w:val="a5"/>
    <w:uiPriority w:val="99"/>
    <w:unhideWhenUsed/>
    <w:rsid w:val="0088166E"/>
    <w:pPr>
      <w:tabs>
        <w:tab w:val="center" w:pos="4153"/>
        <w:tab w:val="right" w:pos="8306"/>
      </w:tabs>
      <w:snapToGrid w:val="0"/>
    </w:pPr>
    <w:rPr>
      <w:sz w:val="20"/>
      <w:szCs w:val="20"/>
    </w:rPr>
  </w:style>
  <w:style w:type="character" w:customStyle="1" w:styleId="a5">
    <w:name w:val="頁首 字元"/>
    <w:basedOn w:val="a0"/>
    <w:link w:val="a4"/>
    <w:uiPriority w:val="99"/>
    <w:rsid w:val="0088166E"/>
    <w:rPr>
      <w:rFonts w:ascii="Calibri" w:hAnsi="Calibri" w:cs="Times New Roman"/>
      <w:sz w:val="20"/>
      <w:szCs w:val="20"/>
    </w:rPr>
  </w:style>
  <w:style w:type="paragraph" w:styleId="a6">
    <w:name w:val="footer"/>
    <w:basedOn w:val="a"/>
    <w:link w:val="a7"/>
    <w:uiPriority w:val="99"/>
    <w:unhideWhenUsed/>
    <w:rsid w:val="0088166E"/>
    <w:pPr>
      <w:tabs>
        <w:tab w:val="center" w:pos="4153"/>
        <w:tab w:val="right" w:pos="8306"/>
      </w:tabs>
      <w:snapToGrid w:val="0"/>
    </w:pPr>
    <w:rPr>
      <w:sz w:val="20"/>
      <w:szCs w:val="20"/>
    </w:rPr>
  </w:style>
  <w:style w:type="character" w:customStyle="1" w:styleId="a7">
    <w:name w:val="頁尾 字元"/>
    <w:basedOn w:val="a0"/>
    <w:link w:val="a6"/>
    <w:uiPriority w:val="99"/>
    <w:rsid w:val="0088166E"/>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dc:creator>
  <cp:keywords/>
  <dc:description/>
  <cp:lastModifiedBy>GUO</cp:lastModifiedBy>
  <cp:revision>3</cp:revision>
  <dcterms:created xsi:type="dcterms:W3CDTF">2020-08-01T10:59:00Z</dcterms:created>
  <dcterms:modified xsi:type="dcterms:W3CDTF">2020-08-01T10:59:00Z</dcterms:modified>
</cp:coreProperties>
</file>