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2778" w14:textId="78E09825" w:rsidR="00B85B96" w:rsidRDefault="00B85B96" w:rsidP="00B85B96">
      <w:pPr>
        <w:wordWrap/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Materials</w:t>
      </w:r>
    </w:p>
    <w:p w14:paraId="5B39B5B5" w14:textId="2FE38880" w:rsidR="00910BD9" w:rsidRPr="00910BD9" w:rsidRDefault="00910BD9" w:rsidP="00B85B96">
      <w:pPr>
        <w:wordWrap/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4"/>
          <w:lang w:val="en-GB"/>
        </w:rPr>
      </w:pPr>
      <w:r w:rsidRPr="00910BD9">
        <w:rPr>
          <w:rFonts w:ascii="Times New Roman" w:hAnsi="Times New Roman" w:cs="Times New Roman"/>
          <w:b/>
          <w:szCs w:val="24"/>
          <w:lang w:val="en-GB"/>
        </w:rPr>
        <w:t>Supplementary Table 1. Characteristics of enrolled patients</w:t>
      </w:r>
    </w:p>
    <w:tbl>
      <w:tblPr>
        <w:tblW w:w="13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2480"/>
        <w:gridCol w:w="2480"/>
        <w:gridCol w:w="2480"/>
        <w:gridCol w:w="2480"/>
      </w:tblGrid>
      <w:tr w:rsidR="00027427" w:rsidRPr="00910BD9" w14:paraId="191F552A" w14:textId="77777777" w:rsidTr="00027427">
        <w:trPr>
          <w:trHeight w:val="770"/>
        </w:trPr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F4A028" w14:textId="77777777" w:rsidR="00027427" w:rsidRPr="00910BD9" w:rsidRDefault="00027427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1088F" w14:textId="0568D384" w:rsidR="00027427" w:rsidRPr="00910BD9" w:rsidRDefault="00027427" w:rsidP="000274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ACPA-positive </w:t>
            </w: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MTX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</w:t>
            </w: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naïve 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RA patients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A20A54" w14:textId="77777777" w:rsidR="00027427" w:rsidRPr="00910BD9" w:rsidRDefault="00027427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Established RA patients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72EAB9" w14:textId="60AEE4AF" w:rsidR="00027427" w:rsidRPr="00910BD9" w:rsidRDefault="00027427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Established RA patients with DAS28-ESR </w:t>
            </w:r>
            <w:r w:rsidRPr="00910BD9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Cs w:val="20"/>
              </w:rPr>
              <w:t>≤</w:t>
            </w: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3</w:t>
            </w:r>
            <w:r w:rsidR="00D55FAA" w:rsidRPr="00C372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A36324" w14:textId="77777777" w:rsidR="00027427" w:rsidRPr="00910BD9" w:rsidRDefault="00027427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OA patients</w:t>
            </w:r>
          </w:p>
        </w:tc>
      </w:tr>
      <w:tr w:rsidR="00910BD9" w:rsidRPr="00910BD9" w14:paraId="77400D94" w14:textId="77777777" w:rsidTr="00027427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BCB9D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Individuals (n)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F46E9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042AA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A74DC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1F48F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</w:tr>
      <w:tr w:rsidR="00910BD9" w:rsidRPr="00910BD9" w14:paraId="1812DC35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5DBBA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Females (n),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B5D3D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(82.1)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4D1F0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 (88.1)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6C9CB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 (88.2)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82FE9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(68.8)</w:t>
            </w:r>
          </w:p>
        </w:tc>
      </w:tr>
      <w:tr w:rsidR="00910BD9" w:rsidRPr="00910BD9" w14:paraId="508C86FA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69993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Median ages of samples (IQR)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E5857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 (42.75-56.25)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00DCC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 (44.5-63.0)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E1F41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56.5 (47.25-63.0)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D9C7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61.5 (54.0-64.5)</w:t>
            </w:r>
          </w:p>
        </w:tc>
      </w:tr>
      <w:tr w:rsidR="00910BD9" w:rsidRPr="00910BD9" w14:paraId="3E00A465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2FCF0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RF positive (n),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E4E0A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 (78.6)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4C115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 (81.4)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00863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(55.9)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E9BEE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(0)</w:t>
            </w:r>
          </w:p>
        </w:tc>
      </w:tr>
      <w:tr w:rsidR="00910BD9" w:rsidRPr="00910BD9" w14:paraId="0FD95A14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F939A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ACPA positive (n),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E5DC7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 (100)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0652C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 (100)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62692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 (100)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283DD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(0)</w:t>
            </w:r>
          </w:p>
        </w:tc>
      </w:tr>
      <w:tr w:rsidR="00910BD9" w:rsidRPr="00910BD9" w14:paraId="34E68336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16BDD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ESR (mm/hr, median and IQR)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3BDE9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28.5 (16.5-38.5)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973D0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24.0 (17.0-36.0)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CE4C1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(10.0-18.75)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0930F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9.5 (6.75-13.5)</w:t>
            </w:r>
          </w:p>
        </w:tc>
      </w:tr>
      <w:tr w:rsidR="00910BD9" w:rsidRPr="00910BD9" w14:paraId="7EE631A4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8384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CRP (mg/dL, median and IQR)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60AB7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 (0.15-0.53)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5C4F5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 (0.07-1.22)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1A081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 (0.07-0.26)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74E5E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 (0.05-0.14)</w:t>
            </w:r>
          </w:p>
        </w:tc>
      </w:tr>
      <w:tr w:rsidR="00910BD9" w:rsidRPr="00910BD9" w14:paraId="230DE713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B5FB1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Disease duration (months, median and IQR)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2FC51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(1-7)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6824D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 (24-72)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17366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 (24-60)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50F6F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</w:tr>
      <w:tr w:rsidR="00910BD9" w:rsidRPr="00910BD9" w14:paraId="369272D1" w14:textId="77777777" w:rsidTr="00910BD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67DE5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DAS28-ESR (0-10, median and IQR)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8AAA8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4.70 (4.31-5.28)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7E186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3.83 (3.51-4.59)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39A22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2.82 (2.53-3.08)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CFCFE" w14:textId="77777777" w:rsidR="00910BD9" w:rsidRPr="00910BD9" w:rsidRDefault="00910BD9" w:rsidP="00910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10BD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</w:tr>
    </w:tbl>
    <w:p w14:paraId="6402A641" w14:textId="1DE091F1" w:rsidR="00910BD9" w:rsidRDefault="00910BD9" w:rsidP="00910BD9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910BD9">
        <w:rPr>
          <w:rFonts w:ascii="Times New Roman" w:eastAsia="맑은 고딕" w:hAnsi="Times New Roman" w:cs="Times New Roman"/>
          <w:color w:val="000000"/>
          <w:kern w:val="0"/>
          <w:szCs w:val="20"/>
        </w:rPr>
        <w:t>The positive range for ACPA is more than 5.0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IU/mL.</w:t>
      </w:r>
    </w:p>
    <w:p w14:paraId="70BDA5A9" w14:textId="79B16A54" w:rsidR="00910BD9" w:rsidRPr="00910BD9" w:rsidRDefault="00910BD9" w:rsidP="00910BD9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910BD9">
        <w:rPr>
          <w:rFonts w:ascii="Times New Roman" w:eastAsia="맑은 고딕" w:hAnsi="Times New Roman" w:cs="Times New Roman"/>
          <w:color w:val="000000"/>
          <w:kern w:val="0"/>
          <w:szCs w:val="20"/>
        </w:rPr>
        <w:t>The positive range for RF is more than 18.0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IU/mL.</w:t>
      </w:r>
    </w:p>
    <w:p w14:paraId="45174DE6" w14:textId="5AC32CD3" w:rsidR="00910BD9" w:rsidRPr="00910BD9" w:rsidRDefault="00910BD9" w:rsidP="00910BD9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910BD9">
        <w:rPr>
          <w:rFonts w:ascii="Times New Roman" w:eastAsia="맑은 고딕" w:hAnsi="Times New Roman" w:cs="Times New Roman"/>
          <w:color w:val="000000"/>
          <w:kern w:val="0"/>
          <w:szCs w:val="20"/>
        </w:rPr>
        <w:t>ACPA, anticitrullinated peptide antibodies; CRP, C-reactive protein;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DAS28, disease activity score;</w:t>
      </w:r>
      <w:r w:rsidRPr="00910BD9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ESR, erythrocyte sedimentation rate;</w:t>
      </w:r>
      <w:r w:rsidR="00027427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eRA, early rheumatoid arthritis;</w:t>
      </w:r>
      <w:r w:rsidRPr="00910BD9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RF, rheumatoid factor; ND, not determined; MTX, methotrexate</w:t>
      </w:r>
    </w:p>
    <w:p w14:paraId="50DCA377" w14:textId="77777777" w:rsidR="00910BD9" w:rsidRPr="00910BD9" w:rsidRDefault="00910BD9" w:rsidP="00910BD9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6D2E27C5" w14:textId="77777777" w:rsidR="00B85B96" w:rsidRDefault="00B85B96" w:rsidP="00B85B96">
      <w:pPr>
        <w:wordWrap/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Figure Legends</w:t>
      </w:r>
    </w:p>
    <w:p w14:paraId="1EB8901A" w14:textId="6C941356" w:rsidR="00B85B96" w:rsidRPr="00910BD9" w:rsidRDefault="00B85B96" w:rsidP="00B85B96">
      <w:pPr>
        <w:wordWrap/>
        <w:adjustRightInd w:val="0"/>
        <w:snapToGrid w:val="0"/>
        <w:spacing w:line="480" w:lineRule="auto"/>
        <w:rPr>
          <w:rFonts w:ascii="Times New Roman"/>
          <w:bCs/>
          <w:color w:val="000000"/>
          <w:szCs w:val="20"/>
          <w:lang w:val="en-GB"/>
        </w:rPr>
      </w:pPr>
      <w:r w:rsidRPr="00910BD9">
        <w:rPr>
          <w:rFonts w:ascii="Times New Roman" w:hAnsi="Times New Roman" w:cs="Times New Roman"/>
          <w:b/>
          <w:szCs w:val="20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Cs w:val="20"/>
          <w:lang w:val="en-GB"/>
        </w:rPr>
        <w:t>F</w:t>
      </w:r>
      <w:r w:rsidRPr="00910BD9">
        <w:rPr>
          <w:rFonts w:ascii="Times New Roman" w:hAnsi="Times New Roman" w:cs="Times New Roman"/>
          <w:b/>
          <w:szCs w:val="20"/>
          <w:lang w:val="en-GB"/>
        </w:rPr>
        <w:t>igure 1.</w:t>
      </w:r>
      <w:r w:rsidRPr="00910BD9">
        <w:rPr>
          <w:rFonts w:ascii="Times New Roman" w:hAnsi="Times New Roman" w:cs="Times New Roman"/>
          <w:szCs w:val="20"/>
          <w:lang w:val="en-GB"/>
        </w:rPr>
        <w:t xml:space="preserve"> </w:t>
      </w:r>
      <w:r w:rsidRPr="00910BD9">
        <w:rPr>
          <w:rFonts w:ascii="Times New Roman"/>
          <w:b/>
          <w:bCs/>
          <w:color w:val="000000"/>
          <w:szCs w:val="20"/>
          <w:lang w:val="en-GB"/>
        </w:rPr>
        <w:t>Multiplex cytokine assay of established RA with low disease activity (DAS28</w:t>
      </w:r>
      <w:r w:rsidRPr="00910BD9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>-ESR</w:t>
      </w:r>
      <w:r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 xml:space="preserve"> </w:t>
      </w:r>
      <w:r w:rsidRPr="00910BD9">
        <w:rPr>
          <w:rFonts w:ascii="Times New Roman" w:eastAsia="맑은 고딕" w:hAnsi="Times New Roman" w:cs="Times New Roman" w:hint="eastAsia"/>
          <w:b/>
          <w:bCs/>
          <w:color w:val="000000"/>
          <w:szCs w:val="20"/>
          <w:lang w:val="en-GB"/>
        </w:rPr>
        <w:t>≤</w:t>
      </w:r>
      <w:r>
        <w:rPr>
          <w:rFonts w:ascii="Times New Roman" w:eastAsia="맑은 고딕" w:hAnsi="Times New Roman" w:cs="Times New Roman"/>
          <w:b/>
          <w:bCs/>
          <w:color w:val="000000"/>
          <w:szCs w:val="20"/>
          <w:lang w:val="en-GB"/>
        </w:rPr>
        <w:t xml:space="preserve"> </w:t>
      </w:r>
      <w:r w:rsidRPr="00910BD9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>3</w:t>
      </w:r>
      <w:r w:rsidR="00D55FAA" w:rsidRPr="00D55FAA">
        <w:rPr>
          <w:rFonts w:ascii="Times New Roman" w:hAnsi="Times New Roman" w:cs="Times New Roman"/>
          <w:szCs w:val="24"/>
          <w:lang w:val="en-GB"/>
        </w:rPr>
        <w:t>·</w:t>
      </w:r>
      <w:r w:rsidRPr="00910BD9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 xml:space="preserve">2). </w:t>
      </w:r>
      <w:r w:rsidRPr="00910BD9">
        <w:rPr>
          <w:rFonts w:ascii="Times New Roman" w:hAnsi="Times New Roman" w:cs="Times New Roman"/>
          <w:bCs/>
          <w:color w:val="000000"/>
          <w:szCs w:val="20"/>
          <w:lang w:val="en-GB"/>
        </w:rPr>
        <w:t>(A</w:t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) Plasma cytokine levels of </w:t>
      </w:r>
      <w:r>
        <w:rPr>
          <w:rFonts w:ascii="Times New Roman"/>
          <w:bCs/>
          <w:color w:val="000000"/>
          <w:szCs w:val="20"/>
          <w:lang w:val="en-GB"/>
        </w:rPr>
        <w:t xml:space="preserve">five </w:t>
      </w:r>
      <w:r w:rsidRPr="00910BD9">
        <w:rPr>
          <w:rFonts w:ascii="Times New Roman"/>
          <w:bCs/>
          <w:color w:val="000000"/>
          <w:szCs w:val="20"/>
          <w:lang w:val="en-GB"/>
        </w:rPr>
        <w:t>cytokines (IFN-</w:t>
      </w:r>
      <w:r w:rsidRPr="00910BD9">
        <w:rPr>
          <w:rFonts w:ascii="Times New Roman" w:hAnsi="Times New Roman" w:cs="Times New Roman"/>
          <w:szCs w:val="20"/>
          <w:lang w:val="en-GB"/>
        </w:rPr>
        <w:sym w:font="Symbol" w:char="F067"/>
      </w:r>
      <w:r w:rsidRPr="00910BD9">
        <w:rPr>
          <w:rFonts w:ascii="Times New Roman"/>
          <w:bCs/>
          <w:color w:val="000000"/>
          <w:szCs w:val="20"/>
          <w:lang w:val="en-GB"/>
        </w:rPr>
        <w:t>, IL-17A, IL-6, IL-12, TNF-</w:t>
      </w:r>
      <w:r w:rsidRPr="00910BD9">
        <w:rPr>
          <w:rFonts w:ascii="Times New Roman" w:eastAsia="맑은 고딕" w:hAnsi="Times New Roman" w:cs="Times New Roman"/>
          <w:bCs/>
          <w:color w:val="000000"/>
          <w:szCs w:val="20"/>
          <w:lang w:val="en-GB"/>
        </w:rPr>
        <w:t>α</w:t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) in </w:t>
      </w:r>
      <w:r>
        <w:rPr>
          <w:rFonts w:ascii="Times New Roman"/>
          <w:bCs/>
          <w:color w:val="000000"/>
          <w:szCs w:val="20"/>
          <w:lang w:val="en-GB"/>
        </w:rPr>
        <w:t xml:space="preserve">patients with </w:t>
      </w:r>
      <w:r w:rsidRPr="00910BD9">
        <w:rPr>
          <w:rFonts w:ascii="Times New Roman"/>
          <w:bCs/>
          <w:color w:val="000000"/>
          <w:szCs w:val="20"/>
          <w:lang w:val="en-GB"/>
        </w:rPr>
        <w:t>established RA with low disease activity. (B) Correlation between plasma IFN-</w:t>
      </w:r>
      <w:r w:rsidRPr="00910BD9">
        <w:rPr>
          <w:rFonts w:ascii="Times New Roman" w:hAnsi="Times New Roman" w:cs="Times New Roman"/>
          <w:szCs w:val="20"/>
          <w:lang w:val="en-GB"/>
        </w:rPr>
        <w:sym w:font="Symbol" w:char="F067"/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 and IL-17A/IL-</w:t>
      </w:r>
      <w:r w:rsidRPr="00910BD9">
        <w:rPr>
          <w:rFonts w:ascii="Times New Roman"/>
          <w:bCs/>
          <w:color w:val="000000"/>
          <w:szCs w:val="20"/>
          <w:lang w:val="en-GB"/>
        </w:rPr>
        <w:lastRenderedPageBreak/>
        <w:t>6/IL-12/TNF-</w:t>
      </w:r>
      <w:r w:rsidRPr="00910BD9">
        <w:rPr>
          <w:rFonts w:ascii="Times New Roman" w:eastAsia="맑은 고딕" w:hAnsi="Times New Roman" w:cs="Times New Roman"/>
          <w:bCs/>
          <w:color w:val="000000"/>
          <w:szCs w:val="20"/>
          <w:lang w:val="en-GB"/>
        </w:rPr>
        <w:t>α</w:t>
      </w:r>
      <w:r w:rsidRPr="00910BD9">
        <w:rPr>
          <w:rFonts w:ascii="Times New Roman"/>
          <w:bCs/>
          <w:color w:val="000000"/>
          <w:szCs w:val="20"/>
          <w:lang w:val="en-GB"/>
        </w:rPr>
        <w:t>. (C) Correlation between DAS28-ESR and plasma cytokine levels. ***</w:t>
      </w:r>
      <w:r w:rsidRPr="00910BD9">
        <w:rPr>
          <w:rFonts w:ascii="Times New Roman"/>
          <w:bCs/>
          <w:i/>
          <w:color w:val="000000"/>
          <w:szCs w:val="20"/>
          <w:lang w:val="en-GB"/>
        </w:rPr>
        <w:t>P</w:t>
      </w:r>
      <w:r>
        <w:rPr>
          <w:rFonts w:ascii="Times New Roman"/>
          <w:bCs/>
          <w:i/>
          <w:color w:val="000000"/>
          <w:szCs w:val="20"/>
          <w:lang w:val="en-GB"/>
        </w:rPr>
        <w:t xml:space="preserve"> </w:t>
      </w:r>
      <w:r w:rsidRPr="00910BD9">
        <w:rPr>
          <w:rFonts w:ascii="Times New Roman"/>
          <w:bCs/>
          <w:color w:val="000000"/>
          <w:szCs w:val="20"/>
          <w:lang w:val="en-GB"/>
        </w:rPr>
        <w:t>&lt;</w:t>
      </w:r>
      <w:r>
        <w:rPr>
          <w:rFonts w:ascii="Times New Roman"/>
          <w:bCs/>
          <w:color w:val="000000"/>
          <w:szCs w:val="20"/>
          <w:lang w:val="en-GB"/>
        </w:rPr>
        <w:t xml:space="preserve"> </w:t>
      </w:r>
      <w:r w:rsidRPr="00910BD9">
        <w:rPr>
          <w:rFonts w:ascii="Times New Roman"/>
          <w:bCs/>
          <w:color w:val="000000"/>
          <w:szCs w:val="20"/>
          <w:lang w:val="en-GB"/>
        </w:rPr>
        <w:t>0.001</w:t>
      </w:r>
      <w:r>
        <w:rPr>
          <w:rFonts w:ascii="Times New Roman"/>
          <w:bCs/>
          <w:color w:val="000000"/>
          <w:szCs w:val="20"/>
          <w:lang w:val="en-GB"/>
        </w:rPr>
        <w:t>.</w:t>
      </w:r>
    </w:p>
    <w:p w14:paraId="297CFFB3" w14:textId="787C67EE" w:rsidR="00B85B96" w:rsidRDefault="009E1FBD" w:rsidP="00B85B96">
      <w:pPr>
        <w:wordWrap/>
        <w:adjustRightInd w:val="0"/>
        <w:snapToGrid w:val="0"/>
        <w:spacing w:line="480" w:lineRule="auto"/>
        <w:rPr>
          <w:rFonts w:ascii="Times New Roman"/>
          <w:bCs/>
          <w:color w:val="000000"/>
          <w:szCs w:val="20"/>
          <w:lang w:val="en-GB"/>
        </w:rPr>
      </w:pPr>
      <w:r>
        <w:rPr>
          <w:rFonts w:ascii="Times New Roman"/>
          <w:bCs/>
          <w:noProof/>
          <w:color w:val="0033CC"/>
          <w:szCs w:val="20"/>
        </w:rPr>
        <w:drawing>
          <wp:inline distT="0" distB="0" distL="0" distR="0" wp14:anchorId="57AC1A02" wp14:editId="64ADA75D">
            <wp:extent cx="6147597" cy="5179325"/>
            <wp:effectExtent l="0" t="0" r="5715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70" cy="518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68EE" w14:textId="080BC569" w:rsidR="00B85B96" w:rsidRPr="00910BD9" w:rsidRDefault="00B85B96" w:rsidP="00B85B96">
      <w:pPr>
        <w:wordWrap/>
        <w:adjustRightInd w:val="0"/>
        <w:snapToGrid w:val="0"/>
        <w:spacing w:line="480" w:lineRule="auto"/>
        <w:rPr>
          <w:rFonts w:ascii="Times New Roman"/>
          <w:bCs/>
          <w:color w:val="0033CC"/>
          <w:szCs w:val="20"/>
          <w:lang w:val="en-GB"/>
        </w:rPr>
      </w:pPr>
      <w:r w:rsidRPr="00910BD9">
        <w:rPr>
          <w:rFonts w:ascii="Times New Roman" w:hAnsi="Times New Roman" w:cs="Times New Roman"/>
          <w:b/>
          <w:szCs w:val="20"/>
          <w:lang w:val="en-GB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Cs w:val="20"/>
          <w:lang w:val="en-GB"/>
        </w:rPr>
        <w:t>F</w:t>
      </w:r>
      <w:r w:rsidRPr="00910BD9">
        <w:rPr>
          <w:rFonts w:ascii="Times New Roman" w:hAnsi="Times New Roman" w:cs="Times New Roman"/>
          <w:b/>
          <w:szCs w:val="20"/>
          <w:lang w:val="en-GB"/>
        </w:rPr>
        <w:t>igure 2.</w:t>
      </w:r>
      <w:r w:rsidRPr="00910BD9">
        <w:rPr>
          <w:rFonts w:ascii="Times New Roman" w:hAnsi="Times New Roman" w:cs="Times New Roman"/>
          <w:szCs w:val="20"/>
          <w:lang w:val="en-GB"/>
        </w:rPr>
        <w:t xml:space="preserve"> </w:t>
      </w:r>
      <w:r w:rsidRPr="00910BD9">
        <w:rPr>
          <w:rFonts w:ascii="Times New Roman"/>
          <w:b/>
          <w:bCs/>
          <w:color w:val="000000"/>
          <w:szCs w:val="20"/>
          <w:lang w:val="en-GB"/>
        </w:rPr>
        <w:t xml:space="preserve">Multiplex cytokine assay of established RA with </w:t>
      </w:r>
      <w:r w:rsidR="009E1FBD">
        <w:rPr>
          <w:rFonts w:ascii="Times New Roman"/>
          <w:b/>
          <w:bCs/>
          <w:color w:val="000000"/>
          <w:szCs w:val="20"/>
          <w:lang w:val="en-GB"/>
        </w:rPr>
        <w:t xml:space="preserve">moderate to </w:t>
      </w:r>
      <w:r w:rsidRPr="00910BD9">
        <w:rPr>
          <w:rFonts w:ascii="Times New Roman"/>
          <w:b/>
          <w:bCs/>
          <w:color w:val="000000"/>
          <w:szCs w:val="20"/>
          <w:lang w:val="en-GB"/>
        </w:rPr>
        <w:t>high disease activity (DAS28</w:t>
      </w:r>
      <w:r w:rsidRPr="00910BD9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>-ESR</w:t>
      </w:r>
      <w:r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 xml:space="preserve"> </w:t>
      </w:r>
      <w:r w:rsidRPr="00910BD9">
        <w:rPr>
          <w:rFonts w:ascii="Times New Roman" w:eastAsia="맑은 고딕" w:hAnsi="Times New Roman" w:cs="Times New Roman"/>
          <w:b/>
          <w:bCs/>
          <w:color w:val="000000"/>
          <w:szCs w:val="20"/>
          <w:lang w:val="en-GB"/>
        </w:rPr>
        <w:t>&gt;</w:t>
      </w:r>
      <w:r>
        <w:rPr>
          <w:rFonts w:ascii="Times New Roman" w:eastAsia="맑은 고딕" w:hAnsi="Times New Roman" w:cs="Times New Roman"/>
          <w:b/>
          <w:bCs/>
          <w:color w:val="000000"/>
          <w:szCs w:val="20"/>
          <w:lang w:val="en-GB"/>
        </w:rPr>
        <w:t xml:space="preserve"> </w:t>
      </w:r>
      <w:r w:rsidRPr="00D55FAA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>3</w:t>
      </w:r>
      <w:r w:rsidR="00D55FAA" w:rsidRPr="00D55FAA">
        <w:rPr>
          <w:rFonts w:ascii="Times New Roman" w:hAnsi="Times New Roman" w:cs="Times New Roman"/>
          <w:szCs w:val="20"/>
          <w:lang w:val="en-GB"/>
        </w:rPr>
        <w:t>·</w:t>
      </w:r>
      <w:r w:rsidRPr="00D55FAA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>2</w:t>
      </w:r>
      <w:r w:rsidRPr="00910BD9">
        <w:rPr>
          <w:rFonts w:ascii="Times New Roman" w:hAnsi="Times New Roman" w:cs="Times New Roman"/>
          <w:b/>
          <w:bCs/>
          <w:color w:val="000000"/>
          <w:szCs w:val="20"/>
          <w:lang w:val="en-GB"/>
        </w:rPr>
        <w:t xml:space="preserve">). </w:t>
      </w:r>
      <w:r w:rsidRPr="00910BD9">
        <w:rPr>
          <w:rFonts w:ascii="Times New Roman" w:hAnsi="Times New Roman" w:cs="Times New Roman"/>
          <w:bCs/>
          <w:color w:val="000000"/>
          <w:szCs w:val="20"/>
          <w:lang w:val="en-GB"/>
        </w:rPr>
        <w:t>(A</w:t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) Plasma cytokine levels of </w:t>
      </w:r>
      <w:r>
        <w:rPr>
          <w:rFonts w:ascii="Times New Roman"/>
          <w:bCs/>
          <w:color w:val="000000"/>
          <w:szCs w:val="20"/>
          <w:lang w:val="en-GB"/>
        </w:rPr>
        <w:t xml:space="preserve">five </w:t>
      </w:r>
      <w:r w:rsidRPr="00910BD9">
        <w:rPr>
          <w:rFonts w:ascii="Times New Roman"/>
          <w:bCs/>
          <w:color w:val="000000"/>
          <w:szCs w:val="20"/>
          <w:lang w:val="en-GB"/>
        </w:rPr>
        <w:t>cytokines (IFN-</w:t>
      </w:r>
      <w:r w:rsidRPr="00910BD9">
        <w:rPr>
          <w:rFonts w:ascii="Times New Roman" w:hAnsi="Times New Roman" w:cs="Times New Roman"/>
          <w:szCs w:val="20"/>
          <w:lang w:val="en-GB"/>
        </w:rPr>
        <w:sym w:font="Symbol" w:char="F067"/>
      </w:r>
      <w:r w:rsidRPr="00910BD9">
        <w:rPr>
          <w:rFonts w:ascii="Times New Roman"/>
          <w:bCs/>
          <w:color w:val="000000"/>
          <w:szCs w:val="20"/>
          <w:lang w:val="en-GB"/>
        </w:rPr>
        <w:t>, IL-17A, IL-6, IL-12, TNF-</w:t>
      </w:r>
      <w:r w:rsidRPr="00910BD9">
        <w:rPr>
          <w:rFonts w:ascii="Times New Roman" w:eastAsia="맑은 고딕" w:hAnsi="Times New Roman" w:cs="Times New Roman"/>
          <w:bCs/>
          <w:color w:val="000000"/>
          <w:szCs w:val="20"/>
          <w:lang w:val="en-GB"/>
        </w:rPr>
        <w:t>α</w:t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) in </w:t>
      </w:r>
      <w:r>
        <w:rPr>
          <w:rFonts w:ascii="Times New Roman"/>
          <w:bCs/>
          <w:color w:val="000000"/>
          <w:szCs w:val="20"/>
          <w:lang w:val="en-GB"/>
        </w:rPr>
        <w:t xml:space="preserve">patients with </w:t>
      </w:r>
      <w:r w:rsidRPr="00910BD9">
        <w:rPr>
          <w:rFonts w:ascii="Times New Roman"/>
          <w:bCs/>
          <w:color w:val="000000"/>
          <w:szCs w:val="20"/>
          <w:lang w:val="en-GB"/>
        </w:rPr>
        <w:t>established RA with high disease activity. (B) Correlation between plasma IFN-</w:t>
      </w:r>
      <w:r w:rsidRPr="00910BD9">
        <w:rPr>
          <w:rFonts w:ascii="Times New Roman" w:hAnsi="Times New Roman" w:cs="Times New Roman"/>
          <w:szCs w:val="20"/>
          <w:lang w:val="en-GB"/>
        </w:rPr>
        <w:sym w:font="Symbol" w:char="F067"/>
      </w:r>
      <w:r w:rsidRPr="00910BD9">
        <w:rPr>
          <w:rFonts w:ascii="Times New Roman"/>
          <w:bCs/>
          <w:color w:val="000000"/>
          <w:szCs w:val="20"/>
          <w:lang w:val="en-GB"/>
        </w:rPr>
        <w:t xml:space="preserve"> and IL-17A/IL-6/IL-12/TNF-</w:t>
      </w:r>
      <w:r w:rsidRPr="00910BD9">
        <w:rPr>
          <w:rFonts w:ascii="Times New Roman" w:eastAsia="맑은 고딕" w:hAnsi="Times New Roman" w:cs="Times New Roman"/>
          <w:bCs/>
          <w:color w:val="000000"/>
          <w:szCs w:val="20"/>
          <w:lang w:val="en-GB"/>
        </w:rPr>
        <w:t>α</w:t>
      </w:r>
      <w:r w:rsidRPr="00910BD9">
        <w:rPr>
          <w:rFonts w:ascii="Times New Roman"/>
          <w:bCs/>
          <w:color w:val="000000"/>
          <w:szCs w:val="20"/>
          <w:lang w:val="en-GB"/>
        </w:rPr>
        <w:t>. (C) Correlation between DAS28-ESR and plasma cytokine levels. ***</w:t>
      </w:r>
      <w:r w:rsidRPr="00910BD9">
        <w:rPr>
          <w:rFonts w:ascii="Times New Roman"/>
          <w:bCs/>
          <w:i/>
          <w:color w:val="000000"/>
          <w:szCs w:val="20"/>
          <w:lang w:val="en-GB"/>
        </w:rPr>
        <w:t>P</w:t>
      </w:r>
      <w:r>
        <w:rPr>
          <w:rFonts w:ascii="Times New Roman"/>
          <w:bCs/>
          <w:i/>
          <w:color w:val="000000"/>
          <w:szCs w:val="20"/>
          <w:lang w:val="en-GB"/>
        </w:rPr>
        <w:t xml:space="preserve"> </w:t>
      </w:r>
      <w:r w:rsidRPr="00910BD9">
        <w:rPr>
          <w:rFonts w:ascii="Times New Roman"/>
          <w:bCs/>
          <w:color w:val="000000"/>
          <w:szCs w:val="20"/>
          <w:lang w:val="en-GB"/>
        </w:rPr>
        <w:t>&lt;</w:t>
      </w:r>
      <w:r>
        <w:rPr>
          <w:rFonts w:ascii="Times New Roman"/>
          <w:bCs/>
          <w:color w:val="000000"/>
          <w:szCs w:val="20"/>
          <w:lang w:val="en-GB"/>
        </w:rPr>
        <w:t xml:space="preserve"> </w:t>
      </w:r>
      <w:r w:rsidRPr="00910BD9">
        <w:rPr>
          <w:rFonts w:ascii="Times New Roman"/>
          <w:bCs/>
          <w:color w:val="000000"/>
          <w:szCs w:val="20"/>
          <w:lang w:val="en-GB"/>
        </w:rPr>
        <w:t>0.001</w:t>
      </w:r>
      <w:r>
        <w:rPr>
          <w:rFonts w:ascii="Times New Roman"/>
          <w:bCs/>
          <w:color w:val="000000"/>
          <w:szCs w:val="20"/>
          <w:lang w:val="en-GB"/>
        </w:rPr>
        <w:t>.</w:t>
      </w:r>
    </w:p>
    <w:p w14:paraId="30B965DA" w14:textId="47447B18" w:rsidR="007E30EB" w:rsidRPr="00B85B96" w:rsidRDefault="009E1FBD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29333591" wp14:editId="56BC2C41">
            <wp:extent cx="5839811" cy="4920017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69" cy="49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EB" w:rsidRPr="00B85B96" w:rsidSect="00910B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F22" w16cex:dateUtc="2020-07-23T00:00:00Z"/>
  <w16cex:commentExtensible w16cex:durableId="22C2EF23" w16cex:dateUtc="2020-07-23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E97A0" w16cid:durableId="22C2EF22"/>
  <w16cid:commentId w16cid:paraId="4E3B92F1" w16cid:durableId="22C2EF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215F" w14:textId="77777777" w:rsidR="00910BD9" w:rsidRDefault="00910BD9" w:rsidP="00910BD9">
      <w:pPr>
        <w:spacing w:after="0" w:line="240" w:lineRule="auto"/>
      </w:pPr>
      <w:r>
        <w:separator/>
      </w:r>
    </w:p>
  </w:endnote>
  <w:endnote w:type="continuationSeparator" w:id="0">
    <w:p w14:paraId="0339D256" w14:textId="77777777" w:rsidR="00910BD9" w:rsidRDefault="00910BD9" w:rsidP="0091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A82F" w14:textId="77777777" w:rsidR="00910BD9" w:rsidRDefault="00910BD9" w:rsidP="00910BD9">
      <w:pPr>
        <w:spacing w:after="0" w:line="240" w:lineRule="auto"/>
      </w:pPr>
      <w:r>
        <w:separator/>
      </w:r>
    </w:p>
  </w:footnote>
  <w:footnote w:type="continuationSeparator" w:id="0">
    <w:p w14:paraId="05D9853E" w14:textId="77777777" w:rsidR="00910BD9" w:rsidRDefault="00910BD9" w:rsidP="0091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6"/>
    <w:rsid w:val="00027427"/>
    <w:rsid w:val="007E30EB"/>
    <w:rsid w:val="00910BD9"/>
    <w:rsid w:val="009E1FBD"/>
    <w:rsid w:val="00B85B96"/>
    <w:rsid w:val="00D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A7CD95"/>
  <w15:chartTrackingRefBased/>
  <w15:docId w15:val="{AEB77E7C-0632-49DC-995B-5C5E76E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6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B96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85B96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rsid w:val="00B85B96"/>
    <w:rPr>
      <w:rFonts w:eastAsiaTheme="minorEastAsia"/>
      <w:kern w:val="2"/>
      <w:sz w:val="20"/>
      <w:szCs w:val="20"/>
      <w:lang w:eastAsia="ko-KR"/>
    </w:rPr>
  </w:style>
  <w:style w:type="paragraph" w:styleId="a5">
    <w:name w:val="Balloon Text"/>
    <w:basedOn w:val="a"/>
    <w:link w:val="Char0"/>
    <w:uiPriority w:val="99"/>
    <w:semiHidden/>
    <w:unhideWhenUsed/>
    <w:rsid w:val="00B8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B85B96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a6">
    <w:name w:val="header"/>
    <w:basedOn w:val="a"/>
    <w:link w:val="Char1"/>
    <w:uiPriority w:val="99"/>
    <w:unhideWhenUsed/>
    <w:rsid w:val="00910B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10BD9"/>
    <w:rPr>
      <w:kern w:val="2"/>
      <w:sz w:val="20"/>
      <w:lang w:eastAsia="ko-KR"/>
    </w:rPr>
  </w:style>
  <w:style w:type="paragraph" w:styleId="a7">
    <w:name w:val="footer"/>
    <w:basedOn w:val="a"/>
    <w:link w:val="Char2"/>
    <w:uiPriority w:val="99"/>
    <w:unhideWhenUsed/>
    <w:rsid w:val="00910BD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10BD9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KUH</cp:lastModifiedBy>
  <cp:revision>5</cp:revision>
  <dcterms:created xsi:type="dcterms:W3CDTF">2020-07-23T00:01:00Z</dcterms:created>
  <dcterms:modified xsi:type="dcterms:W3CDTF">2020-07-27T08:20:00Z</dcterms:modified>
</cp:coreProperties>
</file>