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728"/>
        <w:tblW w:w="1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4"/>
        <w:gridCol w:w="815"/>
        <w:gridCol w:w="811"/>
        <w:gridCol w:w="898"/>
        <w:gridCol w:w="993"/>
        <w:gridCol w:w="891"/>
        <w:gridCol w:w="988"/>
        <w:gridCol w:w="891"/>
        <w:gridCol w:w="851"/>
        <w:gridCol w:w="891"/>
        <w:gridCol w:w="851"/>
        <w:gridCol w:w="905"/>
        <w:gridCol w:w="953"/>
      </w:tblGrid>
      <w:tr w:rsidR="006A3107" w:rsidRPr="003E4268" w14:paraId="2FBAE696" w14:textId="77777777" w:rsidTr="006A3107">
        <w:trPr>
          <w:trHeight w:val="312"/>
        </w:trPr>
        <w:tc>
          <w:tcPr>
            <w:tcW w:w="1299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B7BC2C" w14:textId="2F4396EC" w:rsidR="006A3107" w:rsidRPr="009059EB" w:rsidRDefault="0063011C" w:rsidP="006A3107">
            <w:pP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3011C">
              <w:rPr>
                <w:rFonts w:ascii="Times New Roman" w:hAnsi="Times New Roman" w:cs="Times New Roman"/>
                <w:b/>
                <w:bCs/>
                <w:szCs w:val="21"/>
              </w:rPr>
              <w:t xml:space="preserve">Additional File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="006A501C" w:rsidRPr="009059EB"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  <w:r w:rsidR="00E755C5" w:rsidRPr="009059EB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6A3107" w:rsidRPr="009059E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Comparison of patient characteristics based on positivity for allergen specific IgE</w:t>
            </w:r>
          </w:p>
        </w:tc>
      </w:tr>
      <w:tr w:rsidR="006A3107" w:rsidRPr="003E4268" w14:paraId="1E792D11" w14:textId="77777777" w:rsidTr="00892C14">
        <w:trPr>
          <w:trHeight w:val="312"/>
        </w:trPr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30C" w14:textId="1B8D5E98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42EF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Moth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A0EA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Cockroach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25E5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House dust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A9D2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D. pteronyssinus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98C9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Candida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130A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02B6C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Japanese cedar</w:t>
            </w:r>
          </w:p>
        </w:tc>
      </w:tr>
      <w:tr w:rsidR="006A3107" w:rsidRPr="003E4268" w14:paraId="28574EC8" w14:textId="77777777" w:rsidTr="00892C14">
        <w:trPr>
          <w:trHeight w:val="324"/>
        </w:trPr>
        <w:tc>
          <w:tcPr>
            <w:tcW w:w="225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B520" w14:textId="77777777" w:rsidR="006A3107" w:rsidRPr="00602B6C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B5F33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E173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BBEA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D041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3C10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DB3F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EAE2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C8A0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8AE1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8AAA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8D0C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Positive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F7C7" w14:textId="77777777" w:rsidR="006A3107" w:rsidRPr="00FC3A7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C3A7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Negative</w:t>
            </w:r>
          </w:p>
        </w:tc>
      </w:tr>
      <w:tr w:rsidR="006A3107" w:rsidRPr="003E4268" w14:paraId="30664C99" w14:textId="77777777" w:rsidTr="006A3107">
        <w:trPr>
          <w:trHeight w:val="312"/>
        </w:trPr>
        <w:tc>
          <w:tcPr>
            <w:tcW w:w="2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F0E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Subject (%)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321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34.3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FD5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65.7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C48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22.4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6E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77.6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C87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25.7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790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74.3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E6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99F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74.3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B62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22.9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E80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77.1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64E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1F6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61.4</w:t>
            </w:r>
          </w:p>
        </w:tc>
      </w:tr>
      <w:tr w:rsidR="006A3107" w:rsidRPr="003E4268" w14:paraId="550CFA58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65AB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Male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F8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91.3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FD8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011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89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80.8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EE8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100.0*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DE0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5C2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100.0*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309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E3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100.0*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6E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79.6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8F1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88.9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93F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81.4</w:t>
            </w:r>
          </w:p>
        </w:tc>
      </w:tr>
      <w:tr w:rsidR="006A3107" w:rsidRPr="003E4268" w14:paraId="21B59F7A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ED0A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82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72.2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184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73.4 ± 1.1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D4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73.9 ± 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8A9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72.8 ± 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42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71.5 ± 1.7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52F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73.4 ± 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2B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71.8 ± 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1F1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73.3 ± 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462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70.9 ± 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C70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73.5 ± 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FE2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71.1 ± 1.4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6C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74.0 ± 1.1</w:t>
            </w:r>
          </w:p>
        </w:tc>
      </w:tr>
      <w:tr w:rsidR="006A3107" w:rsidRPr="003E4268" w14:paraId="3E12846C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E1B6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Current smoker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D8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B81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541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313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324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322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8E6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106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3DB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31.3*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859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280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57C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9.3</w:t>
            </w:r>
          </w:p>
        </w:tc>
      </w:tr>
      <w:tr w:rsidR="006A3107" w:rsidRPr="003E4268" w14:paraId="67745B26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0B3C" w14:textId="155357D3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Smoking history (p</w:t>
            </w:r>
            <w:r w:rsidR="002E48A0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ack</w:t>
            </w: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-y</w:t>
            </w:r>
            <w:r w:rsidR="002E48A0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ear</w:t>
            </w: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DB2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62.7 ± 8.6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752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66.9 ± 6.2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3B4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61.4 ± 10.6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90F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66.7 ± 5.7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98E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51.3 ± 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0C4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69.2 ± 5.6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776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55.6 ± 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9D3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67.8 ± 5.6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04A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70.8 ± 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40A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62.8 ± 5.5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395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56.0 ± 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883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70.0 ± 6.1</w:t>
            </w:r>
          </w:p>
        </w:tc>
      </w:tr>
      <w:tr w:rsidR="006A3107" w:rsidRPr="003E4268" w14:paraId="207326BE" w14:textId="77777777" w:rsidTr="006A3107">
        <w:trPr>
          <w:trHeight w:val="256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A61B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FVC, %predicted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49D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105.5±4.0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12C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106.5±2.9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F7B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100.4±4.8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13C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107.8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98A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105.9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E15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106.7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641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105.6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56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106.8±2.6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0E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105.3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6F4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106.9±2.5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23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107.2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B4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106.1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2.8</w:t>
            </w:r>
          </w:p>
        </w:tc>
      </w:tr>
      <w:tr w:rsidR="006A3107" w:rsidRPr="003E4268" w14:paraId="3209BA9B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12D9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FEV</w:t>
            </w:r>
            <w:r w:rsidRPr="002E48A0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, %predicted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82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74.2 ± 5.2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29E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78.0 ± 3.7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D1F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71.0 ± 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05E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78.4 ± 3.4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885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75.1 ± 5.8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585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77.8 ± 3.4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8FD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78.3 ± 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89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76.7 ± 3.4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7B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70.5 ± 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783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79.0 ± 3.3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797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77.0 ± 4.7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20F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77.1 ± 3.8</w:t>
            </w:r>
          </w:p>
        </w:tc>
      </w:tr>
      <w:tr w:rsidR="006A3107" w:rsidRPr="003E4268" w14:paraId="4DCB8084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AC4B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FEV</w:t>
            </w:r>
            <w:r w:rsidRPr="002E48A0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/FVC ratio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86E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55.9 ± 3.2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9B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55.4 ± 2.3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DAF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55.6 ± 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39F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55.4 ± 3.9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C8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57.5 ± 3.6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C5B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55.0 ± 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47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59.5 ± 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3F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54.3 ± 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C8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53.5 ± 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72C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56.3 ± 2.1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2B6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55.5 ± 2.9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434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55.7 ± 2.3</w:t>
            </w:r>
          </w:p>
        </w:tc>
      </w:tr>
      <w:tr w:rsidR="006A3107" w:rsidRPr="003E4268" w14:paraId="046A2EDC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33DA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RV, % predicted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FB4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119.8±6.5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A3E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116.7±4.7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D6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134.8±8.6*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525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114.0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4E6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119.2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2A4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115.3±4.4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628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118.2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A25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115.6±4.4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B5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120.0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A29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115.1±4.3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E42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115.0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849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116.9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5.0</w:t>
            </w:r>
          </w:p>
        </w:tc>
      </w:tr>
      <w:tr w:rsidR="006A3107" w:rsidRPr="003E4268" w14:paraId="7867DBD1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6298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DLco/V</w:t>
            </w:r>
            <w:r w:rsidRPr="003D63C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A</w:t>
            </w: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, % predicted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55A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80.2 ± 6.3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F25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74.1 ± 4.6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95A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80.3 ± 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068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75.3 ± 4.1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413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87.4 ± 7.4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6CB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73.7 ± 4.0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B09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88.4 ± 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9F7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73.4 ± 4.0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A54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68.2 ± 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EFA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78.9 ± 4.0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EFE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87.0 ± 5.6*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2BA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70.4 ± 4.4</w:t>
            </w:r>
          </w:p>
        </w:tc>
      </w:tr>
      <w:tr w:rsidR="006A3107" w:rsidRPr="003E4268" w14:paraId="7D57FA4A" w14:textId="77777777" w:rsidTr="006A3107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092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Symptom of asthma (%)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3D6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52.4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02B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34.2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003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157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40.8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8F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64.7*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783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C4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949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36.7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708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8E5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39.2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420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60.0*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BBC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32.5</w:t>
            </w:r>
          </w:p>
        </w:tc>
      </w:tr>
      <w:tr w:rsidR="006A3107" w:rsidRPr="003E4268" w14:paraId="38C9E5DE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4C8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History of asthma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C5B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B4C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21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76A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12B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419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7E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11F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FC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59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337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E9C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27.5</w:t>
            </w:r>
          </w:p>
        </w:tc>
      </w:tr>
      <w:tr w:rsidR="006A3107" w:rsidRPr="003E4268" w14:paraId="592D2F11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3650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FeNO (ppb)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6B8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27.0 ± 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3C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26.3 ± 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CE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31.2 ± 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2C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25.2 ± 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72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28.8 ± 3.8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7B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25.9 ± 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0F3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28.1 ± 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71C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26.1 ± 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D6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28.3 ± 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68C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26.1 ± 2.2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92A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27.2 ± 3.2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96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26.3 ± 2.4</w:t>
            </w:r>
          </w:p>
        </w:tc>
      </w:tr>
      <w:tr w:rsidR="006A3107" w:rsidRPr="003E4268" w14:paraId="1DDFE2E3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92CB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Perennial allergic rhinitis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33A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42.9**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CF6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7E6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46.2**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1DE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59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76.5**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2EA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1E2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75.0**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5A9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6689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42.9*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968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623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079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20.0</w:t>
            </w:r>
          </w:p>
        </w:tc>
      </w:tr>
      <w:tr w:rsidR="006A3107" w:rsidRPr="003E4268" w14:paraId="7E9BEC5B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191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Airway reversibility positive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CD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3EA5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0C4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769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FEB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57C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85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486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9FB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F27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A7E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3F9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13.8</w:t>
            </w:r>
          </w:p>
        </w:tc>
      </w:tr>
      <w:tr w:rsidR="006A3107" w:rsidRPr="003E4268" w14:paraId="66783D6F" w14:textId="77777777" w:rsidTr="006A3107">
        <w:trPr>
          <w:trHeight w:val="32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511A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Eosinophilia (%)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79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61E3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0D8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13.3*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8C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773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0ED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2F7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6D6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F69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2B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97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A2B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30.2</w:t>
            </w:r>
          </w:p>
        </w:tc>
      </w:tr>
      <w:tr w:rsidR="006A3107" w:rsidRPr="003E4268" w14:paraId="7F8BB883" w14:textId="77777777" w:rsidTr="006A3107">
        <w:trPr>
          <w:trHeight w:val="31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C323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Eosinophil counts (cells/μl)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DA3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191 ± 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B11D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253 ± 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968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179 ± 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8F9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247 ± 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3F7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224 ± 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872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239 ± 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11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 ± 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22F7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238 ± 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685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243 ± 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9A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233 ± 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FF1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262 ± 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93C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219 ± 25</w:t>
            </w:r>
          </w:p>
        </w:tc>
      </w:tr>
      <w:tr w:rsidR="006A3107" w:rsidRPr="003E4268" w14:paraId="7A6B5E9F" w14:textId="77777777" w:rsidTr="006A3107">
        <w:trPr>
          <w:trHeight w:val="48"/>
        </w:trPr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7200" w14:textId="77777777" w:rsidR="006A3107" w:rsidRPr="003277A5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277A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Serum total IgE (IU/ml)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3FF1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717±96**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E780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095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835±120**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3C42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730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757±111**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0FEB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5036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740±113**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70A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2928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869±112**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93EF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1EB4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590±95**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B8EE" w14:textId="77777777" w:rsidR="006A3107" w:rsidRPr="00C87541" w:rsidRDefault="006A3107" w:rsidP="006A310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±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8754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</w:tr>
      <w:tr w:rsidR="006A3107" w:rsidRPr="008F1A1A" w14:paraId="703EB104" w14:textId="77777777" w:rsidTr="006A3107">
        <w:trPr>
          <w:trHeight w:val="48"/>
        </w:trPr>
        <w:tc>
          <w:tcPr>
            <w:tcW w:w="1299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9839" w14:textId="77777777" w:rsidR="005903F3" w:rsidRPr="005903F3" w:rsidRDefault="005903F3" w:rsidP="006A3107">
            <w:pPr>
              <w:jc w:val="left"/>
              <w:rPr>
                <w:szCs w:val="21"/>
              </w:rPr>
            </w:pPr>
            <w:r w:rsidRPr="005903F3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Notes:</w:t>
            </w:r>
            <w:r w:rsidRPr="005903F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="00283BD8" w:rsidRPr="005903F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="00283BD8" w:rsidRPr="005903F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&lt; 0.05*, </w:t>
            </w:r>
            <w:r w:rsidR="00283BD8" w:rsidRPr="005903F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="00283BD8" w:rsidRPr="005903F3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&lt; 0.01** vs allergen-specific IgE negative group. Specific IgE was judged as positive when the class was equal to or greater than 1 by View39. </w:t>
            </w:r>
            <w:r w:rsidR="00283BD8" w:rsidRPr="005903F3">
              <w:rPr>
                <w:szCs w:val="21"/>
              </w:rPr>
              <w:t xml:space="preserve"> </w:t>
            </w:r>
          </w:p>
          <w:p w14:paraId="0419E3A4" w14:textId="19EF25E8" w:rsidR="006A3107" w:rsidRPr="005903F3" w:rsidRDefault="005903F3" w:rsidP="006A3107">
            <w:pPr>
              <w:jc w:val="left"/>
              <w:rPr>
                <w:iCs/>
                <w:szCs w:val="21"/>
              </w:rPr>
            </w:pPr>
            <w:r w:rsidRPr="005903F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Abbreviations: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DLco/VA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 xml:space="preserve">, diffusing capacity of carbon monoxide/alveolar volume;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FeNO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 xml:space="preserve">, fraction of exhaled nitric oxide;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FEV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  <w:vertAlign w:val="subscript"/>
              </w:rPr>
              <w:t>1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 xml:space="preserve">, forced expiratory volume in 1 s;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FVC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 xml:space="preserve">, forced vital capacity;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RV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 xml:space="preserve">, residual volume; </w:t>
            </w:r>
            <w:r w:rsidR="00283BD8" w:rsidRPr="005903F3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IgE</w:t>
            </w:r>
            <w:r w:rsidR="00283BD8"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>, immunoglobulin E</w:t>
            </w:r>
            <w:r w:rsidRPr="005903F3">
              <w:rPr>
                <w:rFonts w:ascii="Times New Roman" w:eastAsia="游ゴシック" w:hAnsi="Times New Roman" w:cs="Times New Roman"/>
                <w:iCs/>
                <w:color w:val="000000"/>
                <w:kern w:val="0"/>
                <w:szCs w:val="21"/>
              </w:rPr>
              <w:t>.</w:t>
            </w:r>
          </w:p>
        </w:tc>
      </w:tr>
    </w:tbl>
    <w:p w14:paraId="55CBF6E1" w14:textId="310F44B5" w:rsidR="0094412D" w:rsidRPr="00841312" w:rsidRDefault="0094412D" w:rsidP="006A3107">
      <w:pPr>
        <w:jc w:val="left"/>
        <w:rPr>
          <w:sz w:val="24"/>
          <w:szCs w:val="24"/>
        </w:rPr>
      </w:pPr>
    </w:p>
    <w:sectPr w:rsidR="0094412D" w:rsidRPr="00841312" w:rsidSect="003277A5">
      <w:pgSz w:w="16820" w:h="11900" w:orient="landscape"/>
      <w:pgMar w:top="1701" w:right="1701" w:bottom="1701" w:left="1985" w:header="851" w:footer="992" w:gutter="0"/>
      <w:cols w:space="425"/>
      <w:docGrid w:type="linesAndChars" w:linePitch="314" w:charSpace="-1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B730" w14:textId="77777777" w:rsidR="00A5779F" w:rsidRDefault="00A5779F" w:rsidP="009C4533">
      <w:r>
        <w:separator/>
      </w:r>
    </w:p>
  </w:endnote>
  <w:endnote w:type="continuationSeparator" w:id="0">
    <w:p w14:paraId="41574178" w14:textId="77777777" w:rsidR="00A5779F" w:rsidRDefault="00A5779F" w:rsidP="009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4C60" w14:textId="77777777" w:rsidR="00A5779F" w:rsidRDefault="00A5779F" w:rsidP="009C4533">
      <w:r>
        <w:separator/>
      </w:r>
    </w:p>
  </w:footnote>
  <w:footnote w:type="continuationSeparator" w:id="0">
    <w:p w14:paraId="2F12A5CA" w14:textId="77777777" w:rsidR="00A5779F" w:rsidRDefault="00A5779F" w:rsidP="009C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D6"/>
    <w:rsid w:val="000132ED"/>
    <w:rsid w:val="00077835"/>
    <w:rsid w:val="000D46F3"/>
    <w:rsid w:val="001813BA"/>
    <w:rsid w:val="001F379F"/>
    <w:rsid w:val="00243631"/>
    <w:rsid w:val="00263444"/>
    <w:rsid w:val="00283BD8"/>
    <w:rsid w:val="002E48A0"/>
    <w:rsid w:val="003277A5"/>
    <w:rsid w:val="003D24DF"/>
    <w:rsid w:val="003D63C2"/>
    <w:rsid w:val="003E4268"/>
    <w:rsid w:val="00444DC0"/>
    <w:rsid w:val="00472509"/>
    <w:rsid w:val="005903F3"/>
    <w:rsid w:val="005A36D6"/>
    <w:rsid w:val="005E7C9F"/>
    <w:rsid w:val="00601CB7"/>
    <w:rsid w:val="00602B6C"/>
    <w:rsid w:val="0063011C"/>
    <w:rsid w:val="00673AD5"/>
    <w:rsid w:val="0068068D"/>
    <w:rsid w:val="006A3107"/>
    <w:rsid w:val="006A501C"/>
    <w:rsid w:val="006F382A"/>
    <w:rsid w:val="006F7696"/>
    <w:rsid w:val="007348AA"/>
    <w:rsid w:val="00774CEF"/>
    <w:rsid w:val="0077680A"/>
    <w:rsid w:val="007C596D"/>
    <w:rsid w:val="00841312"/>
    <w:rsid w:val="008A7B9C"/>
    <w:rsid w:val="008D0305"/>
    <w:rsid w:val="008E14BB"/>
    <w:rsid w:val="008F1A1A"/>
    <w:rsid w:val="009059EB"/>
    <w:rsid w:val="0094412D"/>
    <w:rsid w:val="009560D5"/>
    <w:rsid w:val="00971D35"/>
    <w:rsid w:val="0099222F"/>
    <w:rsid w:val="009B33FD"/>
    <w:rsid w:val="009B47EA"/>
    <w:rsid w:val="009C35D0"/>
    <w:rsid w:val="009C4533"/>
    <w:rsid w:val="009D1070"/>
    <w:rsid w:val="00A329B5"/>
    <w:rsid w:val="00A54150"/>
    <w:rsid w:val="00A5779F"/>
    <w:rsid w:val="00AC769B"/>
    <w:rsid w:val="00BA0191"/>
    <w:rsid w:val="00BA30F2"/>
    <w:rsid w:val="00C302B4"/>
    <w:rsid w:val="00C51C28"/>
    <w:rsid w:val="00C87541"/>
    <w:rsid w:val="00CF1487"/>
    <w:rsid w:val="00CF4633"/>
    <w:rsid w:val="00D10C2B"/>
    <w:rsid w:val="00D524BE"/>
    <w:rsid w:val="00DA697C"/>
    <w:rsid w:val="00E41208"/>
    <w:rsid w:val="00E700F1"/>
    <w:rsid w:val="00E7306F"/>
    <w:rsid w:val="00E755C5"/>
    <w:rsid w:val="00F406EA"/>
    <w:rsid w:val="00F85520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7A85C"/>
  <w15:chartTrackingRefBased/>
  <w15:docId w15:val="{3A45FDA0-FE49-472B-9DC5-37894ACE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533"/>
  </w:style>
  <w:style w:type="paragraph" w:styleId="a5">
    <w:name w:val="footer"/>
    <w:basedOn w:val="a"/>
    <w:link w:val="a6"/>
    <w:uiPriority w:val="99"/>
    <w:unhideWhenUsed/>
    <w:rsid w:val="009C4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533"/>
  </w:style>
  <w:style w:type="paragraph" w:styleId="a7">
    <w:name w:val="Balloon Text"/>
    <w:basedOn w:val="a"/>
    <w:link w:val="a8"/>
    <w:uiPriority w:val="99"/>
    <w:semiHidden/>
    <w:unhideWhenUsed/>
    <w:rsid w:val="00A54150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150"/>
    <w:rPr>
      <w:rFonts w:ascii="ＭＳ 明朝" w:eastAsia="ＭＳ 明朝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51C2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table" w:styleId="a9">
    <w:name w:val="Table Grid"/>
    <w:basedOn w:val="a1"/>
    <w:uiPriority w:val="39"/>
    <w:rsid w:val="00C51C2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長瀨　洋之</cp:lastModifiedBy>
  <cp:revision>42</cp:revision>
  <dcterms:created xsi:type="dcterms:W3CDTF">2020-03-30T14:34:00Z</dcterms:created>
  <dcterms:modified xsi:type="dcterms:W3CDTF">2020-08-02T22:22:00Z</dcterms:modified>
</cp:coreProperties>
</file>