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</w:rPr>
        <w:t xml:space="preserve">Table </w:t>
      </w:r>
      <w:r>
        <w:rPr>
          <w:rFonts w:hint="eastAsia" w:ascii="Times New Roman" w:hAnsi="Times New Roman" w:eastAsia="宋体" w:cs="Times New Roman"/>
          <w:lang w:val="en-US" w:eastAsia="zh-CN"/>
        </w:rPr>
        <w:t>S1</w:t>
      </w:r>
      <w:r>
        <w:rPr>
          <w:rFonts w:hint="eastAsia" w:ascii="Times New Roman" w:hAnsi="Times New Roman" w:eastAsia="宋体" w:cs="Times New Roman"/>
        </w:rPr>
        <w:t xml:space="preserve">. Sequencing and Assembly Statistics for the fifteen Transcriptome Data </w:t>
      </w:r>
      <w:bookmarkStart w:id="0" w:name="_GoBack"/>
      <w:r>
        <w:rPr>
          <w:rFonts w:hint="eastAsia" w:ascii="Times New Roman" w:hAnsi="Times New Roman" w:eastAsia="宋体" w:cs="Times New Roman"/>
        </w:rPr>
        <w:t xml:space="preserve">of </w:t>
      </w:r>
      <w:r>
        <w:rPr>
          <w:rFonts w:hint="eastAsia" w:ascii="Times New Roman" w:hAnsi="Times New Roman" w:eastAsia="宋体" w:cs="Times New Roman"/>
          <w:i/>
          <w:iCs/>
        </w:rPr>
        <w:t xml:space="preserve">L. gibbosa </w:t>
      </w:r>
      <w:r>
        <w:rPr>
          <w:rFonts w:hint="eastAsia" w:ascii="Times New Roman" w:hAnsi="Times New Roman" w:eastAsia="宋体" w:cs="Times New Roman"/>
        </w:rPr>
        <w:t xml:space="preserve">at Five </w:t>
      </w:r>
      <w:r>
        <w:rPr>
          <w:rFonts w:ascii="Times New Roman" w:hAnsi="Times New Roman" w:eastAsia="宋体" w:cs="Times New Roman"/>
        </w:rPr>
        <w:t>Times</w:t>
      </w:r>
      <w:r>
        <w:rPr>
          <w:rFonts w:hint="eastAsia" w:ascii="Times New Roman" w:hAnsi="Times New Roman" w:eastAsia="宋体" w:cs="Times New Roman"/>
        </w:rPr>
        <w:t xml:space="preserve"> of AR Treatment</w:t>
      </w:r>
      <w:bookmarkEnd w:id="0"/>
      <w:r>
        <w:rPr>
          <w:rFonts w:hint="eastAsia" w:ascii="Times New Roman" w:hAnsi="Times New Roman" w:eastAsia="宋体" w:cs="Times New Roman"/>
          <w:lang w:val="en-US" w:eastAsia="zh-CN"/>
        </w:rPr>
        <w:t>.</w:t>
      </w:r>
    </w:p>
    <w:tbl>
      <w:tblPr>
        <w:tblStyle w:val="3"/>
        <w:tblW w:w="7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41"/>
        <w:gridCol w:w="1009"/>
        <w:gridCol w:w="1050"/>
        <w:gridCol w:w="941"/>
        <w:gridCol w:w="712"/>
        <w:gridCol w:w="108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Time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Group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sample ID</w:t>
            </w:r>
          </w:p>
        </w:tc>
        <w:tc>
          <w:tcPr>
            <w:tcW w:w="1009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o. of clean reads (</w:t>
            </w:r>
            <w:r>
              <w:rPr>
                <w:rFonts w:hint="default" w:ascii="Arial" w:hAnsi="Arial" w:cs="Arial"/>
                <w:sz w:val="15"/>
                <w:szCs w:val="15"/>
              </w:rPr>
              <w:t>×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)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105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o. of clean bases (</w:t>
            </w:r>
            <w:r>
              <w:rPr>
                <w:rFonts w:hint="default" w:ascii="Arial" w:hAnsi="Arial" w:cs="Arial"/>
                <w:sz w:val="15"/>
                <w:szCs w:val="15"/>
              </w:rPr>
              <w:t>×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superscript"/>
              </w:rPr>
              <w:t xml:space="preserve"> 9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4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GC Content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(%)</w:t>
            </w:r>
          </w:p>
        </w:tc>
        <w:tc>
          <w:tcPr>
            <w:tcW w:w="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Q30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(%)</w:t>
            </w:r>
          </w:p>
        </w:tc>
        <w:tc>
          <w:tcPr>
            <w:tcW w:w="1083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N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o. of mapped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r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eads (</w:t>
            </w:r>
            <w:r>
              <w:rPr>
                <w:rFonts w:hint="default" w:ascii="Arial" w:hAnsi="Arial" w:cs="Arial"/>
                <w:sz w:val="15"/>
                <w:szCs w:val="15"/>
              </w:rPr>
              <w:t>×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hint="eastAsia"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8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M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apped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ercentage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0 h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CK-1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22.37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6.69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59.98%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92.74%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39.67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88.65%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CK-2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20.65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6.16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60.22%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93.16%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36.90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89.33%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CK-3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21.78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6.51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60.29%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93.12%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38.97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89.48%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 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QSH1-0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23.03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6.89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60.12%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92.70%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40.55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88.02%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QSH1-1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25.99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7.78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60.34%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91.56%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45.91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QSH1-2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23.41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60.18%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92.42%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89.57%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 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QSH2-0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22.49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6.73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60.29%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92.58%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39.24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87.22%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QSH2-1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26.44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60.27%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91.32%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46.75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67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QSH2-2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25.97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7.77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60.30%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91.96%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46.38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89.31%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10 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QSH3-0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21.38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6.40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60.26%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92.47%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37.34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QSH3-1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25.53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7.64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60.38%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92.12%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45.64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89.39%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QSH3-2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27.96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8.37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60.34%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92.58%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50.48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90.28%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14 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QSH4-0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24.40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60.22%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92.35%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43.77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89.68%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QSH4-1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23.58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7.05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60.35%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92.70%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42.44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90.01%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70" w:type="dxa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QSH4-2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30.37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9.09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60.13%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93.25%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55.47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91.32%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Total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109.29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90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a Here, no. is short for number.</w:t>
            </w:r>
          </w:p>
        </w:tc>
      </w:tr>
    </w:tbl>
    <w:p>
      <w:pPr>
        <w:spacing w:line="480" w:lineRule="auto"/>
        <w:ind w:firstLine="210" w:firstLineChars="100"/>
        <w:jc w:val="center"/>
        <w:rPr>
          <w:rFonts w:ascii="Times New Roman" w:hAnsi="Times New Roman" w:eastAsia="宋体" w:cs="Times New Roman"/>
          <w:szCs w:val="21"/>
          <w:lang w:val="en-US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Table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S2</w:t>
      </w:r>
      <w:r>
        <w:rPr>
          <w:rFonts w:hint="eastAsia" w:ascii="Times New Roman" w:hAnsi="Times New Roman" w:eastAsia="宋体" w:cs="Times New Roman"/>
          <w:szCs w:val="21"/>
        </w:rPr>
        <w:t xml:space="preserve">. The number </w:t>
      </w:r>
      <w:r>
        <w:rPr>
          <w:rFonts w:hint="eastAsia" w:ascii="Times New Roman" w:hAnsi="Times New Roman" w:eastAsia="宋体" w:cs="Times New Roman"/>
          <w:szCs w:val="21"/>
          <w:u w:val="none"/>
        </w:rPr>
        <w:t xml:space="preserve">summarizes </w:t>
      </w:r>
      <w:r>
        <w:rPr>
          <w:rFonts w:hint="eastAsia" w:ascii="Times New Roman" w:hAnsi="Times New Roman" w:eastAsia="宋体" w:cs="Times New Roman"/>
          <w:szCs w:val="21"/>
        </w:rPr>
        <w:t>all annotated expressed genes and new genes.</w:t>
      </w:r>
    </w:p>
    <w:tbl>
      <w:tblPr>
        <w:tblStyle w:val="3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144"/>
        <w:gridCol w:w="632"/>
        <w:gridCol w:w="772"/>
        <w:gridCol w:w="707"/>
        <w:gridCol w:w="696"/>
        <w:gridCol w:w="708"/>
        <w:gridCol w:w="728"/>
        <w:gridCol w:w="870"/>
        <w:gridCol w:w="803"/>
        <w:gridCol w:w="613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918" w:type="dxa"/>
            <w:gridSpan w:val="2"/>
            <w:vMerge w:val="restart"/>
            <w:tcBorders>
              <w:top w:val="single" w:color="auto" w:sz="12" w:space="0"/>
              <w:left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The annotated genes</w:t>
            </w:r>
          </w:p>
        </w:tc>
        <w:tc>
          <w:tcPr>
            <w:tcW w:w="632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Total</w:t>
            </w:r>
          </w:p>
        </w:tc>
        <w:tc>
          <w:tcPr>
            <w:tcW w:w="5897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Database</w:t>
            </w:r>
          </w:p>
        </w:tc>
        <w:tc>
          <w:tcPr>
            <w:tcW w:w="605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Over 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8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GO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COG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KEGG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KOG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Pfam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Swiss Prot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eggNOG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NR</w:t>
            </w: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All genes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Number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12921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5346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3648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3616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4947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7074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5602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8736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10551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10560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Percentage</w:t>
            </w:r>
            <w:r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(%)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41.37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28.23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27.99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38.27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54.75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43.36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67.61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81.66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15"/>
                <w:szCs w:val="15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5"/>
                <w:szCs w:val="15"/>
                <w:lang w:bidi="ar"/>
              </w:rPr>
              <w:t>81.72</w:t>
            </w:r>
          </w:p>
        </w:tc>
      </w:tr>
    </w:tbl>
    <w:p>
      <w:pPr>
        <w:tabs>
          <w:tab w:val="left" w:pos="1107"/>
        </w:tabs>
        <w:spacing w:line="480" w:lineRule="auto"/>
        <w:ind w:firstLine="210" w:firstLineChars="100"/>
        <w:jc w:val="center"/>
        <w:rPr>
          <w:rFonts w:ascii="Times New Roman" w:hAnsi="Times New Roman" w:eastAsia="宋体" w:cs="Times New Roman"/>
        </w:rPr>
      </w:pPr>
    </w:p>
    <w:p>
      <w:pPr>
        <w:tabs>
          <w:tab w:val="left" w:pos="1107"/>
        </w:tabs>
        <w:spacing w:line="480" w:lineRule="auto"/>
        <w:ind w:firstLine="210" w:firstLineChars="100"/>
        <w:jc w:val="center"/>
        <w:rPr>
          <w:rFonts w:ascii="Times New Roman" w:hAnsi="Times New Roman" w:eastAsia="宋体" w:cs="Times New Roman"/>
          <w:szCs w:val="21"/>
          <w:lang w:val="en-US"/>
        </w:rPr>
      </w:pPr>
      <w:r>
        <w:rPr>
          <w:rFonts w:ascii="Times New Roman" w:hAnsi="Times New Roman" w:eastAsia="宋体" w:cs="Times New Roman"/>
        </w:rPr>
        <w:t xml:space="preserve">Table </w:t>
      </w:r>
      <w:r>
        <w:rPr>
          <w:rFonts w:hint="eastAsia" w:ascii="Times New Roman" w:hAnsi="Times New Roman" w:eastAsia="宋体" w:cs="Times New Roman"/>
          <w:lang w:val="en-US" w:eastAsia="zh-CN"/>
        </w:rPr>
        <w:t>S3</w:t>
      </w:r>
      <w:r>
        <w:rPr>
          <w:rFonts w:hint="eastAsia" w:ascii="Times New Roman" w:hAnsi="Times New Roman" w:eastAsia="宋体" w:cs="Times New Roman"/>
        </w:rPr>
        <w:t xml:space="preserve">. </w:t>
      </w:r>
      <w:r>
        <w:rPr>
          <w:rFonts w:ascii="Times New Roman" w:hAnsi="Times New Roman" w:eastAsia="宋体" w:cs="Times New Roman"/>
        </w:rPr>
        <w:t xml:space="preserve">The number of </w:t>
      </w:r>
      <w:r>
        <w:rPr>
          <w:rFonts w:hint="eastAsia" w:ascii="Times New Roman" w:hAnsi="Times New Roman" w:eastAsia="宋体" w:cs="Times New Roman"/>
        </w:rPr>
        <w:t>DEGs</w:t>
      </w:r>
      <w:r>
        <w:rPr>
          <w:rFonts w:ascii="Times New Roman" w:hAnsi="Times New Roman" w:eastAsia="宋体" w:cs="Times New Roman"/>
          <w:szCs w:val="21"/>
        </w:rPr>
        <w:t xml:space="preserve"> and the number summary of the annotated </w:t>
      </w:r>
      <w:r>
        <w:rPr>
          <w:rFonts w:hint="eastAsia" w:ascii="Times New Roman" w:hAnsi="Times New Roman" w:eastAsia="宋体" w:cs="Times New Roman"/>
          <w:szCs w:val="21"/>
        </w:rPr>
        <w:t>DEGs</w:t>
      </w:r>
      <w:r>
        <w:rPr>
          <w:rFonts w:ascii="Times New Roman" w:hAnsi="Times New Roman" w:eastAsia="宋体" w:cs="Times New Roman"/>
          <w:szCs w:val="21"/>
        </w:rPr>
        <w:t>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926"/>
        <w:gridCol w:w="794"/>
        <w:gridCol w:w="1006"/>
        <w:gridCol w:w="143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tabs>
                <w:tab w:val="left" w:pos="1107"/>
              </w:tabs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Group</w:t>
            </w:r>
          </w:p>
        </w:tc>
        <w:tc>
          <w:tcPr>
            <w:tcW w:w="92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DEGs total</w:t>
            </w:r>
          </w:p>
        </w:tc>
        <w:tc>
          <w:tcPr>
            <w:tcW w:w="79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DEGs up</w:t>
            </w:r>
          </w:p>
        </w:tc>
        <w:tc>
          <w:tcPr>
            <w:tcW w:w="100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DEGs down</w:t>
            </w:r>
          </w:p>
        </w:tc>
        <w:tc>
          <w:tcPr>
            <w:tcW w:w="143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Annotation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number</w:t>
            </w:r>
          </w:p>
        </w:tc>
        <w:tc>
          <w:tcPr>
            <w:tcW w:w="19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Annotation percentage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(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CK 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H1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620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288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332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578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CK 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663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232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431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595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89.74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CK 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361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511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CK 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792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313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479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749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94.57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H1vs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103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85.83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H1vs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49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87.85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H1vs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262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H2vs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57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H2vs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63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97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88.99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 xml:space="preserve">H3vs </w:t>
            </w: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QS</w:t>
            </w: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H4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38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86.36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16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1480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--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5"/>
                <w:szCs w:val="15"/>
              </w:rPr>
              <w:t>--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1370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92.57</w:t>
            </w:r>
          </w:p>
        </w:tc>
      </w:tr>
    </w:tbl>
    <w:p>
      <w:pPr>
        <w:keepNext w:val="0"/>
        <w:keepLines w:val="0"/>
        <w:widowControl/>
        <w:suppressLineNumbers w:val="0"/>
        <w:spacing w:line="480" w:lineRule="auto"/>
        <w:jc w:val="center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Table S4 GO enrichment DEGs differential grouping</w:t>
      </w:r>
    </w:p>
    <w:tbl>
      <w:tblPr>
        <w:tblStyle w:val="3"/>
        <w:tblW w:w="10104" w:type="dxa"/>
        <w:tblInd w:w="-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510"/>
        <w:gridCol w:w="782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CK vs QSH1 Up-expression DEGs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 Term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-log10(KS)</w:t>
            </w:r>
          </w:p>
        </w:tc>
        <w:tc>
          <w:tcPr>
            <w:tcW w:w="451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Biological Process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GO:0000041 transition metal ion transport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2.66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gene_1787,gene_356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GO:0046274 lignin catabolic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2.52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gene_3889,gene_3902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GO:0006605 protein targeting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2.43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gene_1001,gene_5208,gene_5690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GO:0006511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ubiquitin-dependent protein catabolic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2.40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gene_1966,gene_3334,gene_3672,gene_7006,gene_963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GO:0072594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establishment of protein localization to organelle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2.28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gene_1001,gene_5208,gene_5690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GO:0000001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mitochondrion inheritance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2.14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gene_7356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GO:0006696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ergosterol biosynthetic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2.14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GO:0005741 mitochondrial outer membrane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2.60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Molecular Function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GO:0020037 heme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3.82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gene_11537,gene_11851,gene_4,gene_4488,gene_5216,gene_7628,gene_8611,gene_9113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GO:0004601 peroxidase activity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2.51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gene_11537,gene_11851,gene_4178,gene_8611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GO:0003723 RNA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2.42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gene_1305,gene_4029,gene_8065,gene_8816,gene_9056,gene_963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GO:0004298 threonine-type endopeptidase activity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2.06</w:t>
            </w:r>
          </w:p>
        </w:tc>
        <w:tc>
          <w:tcPr>
            <w:tcW w:w="451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gene_1966,gene_3334,gene_3672,gene_7006,gene_963,gene_965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CK vs QSH1 Down-expression DEGs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GO:0006536 glutamate metabolic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2.74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gene_1202,gene_7547,gene_7548,gene_796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GO:0035966 response to topologically incorrect protein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2.29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gene_2464,gene_6466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GO:0006605 protein targeting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2.23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gene_5601,gene_688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GO:0072594 establishment of protein localization to organelle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2.09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gene_5601,gene_688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GO:0000001 mitochondrion inheritance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2.05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gene_3864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GO:0005741 mitochondrial outer membrane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2.06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Molecular Function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GO:0020037 heme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3.23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gene_22,gene_4787,gene_713,gene_7522,gene_8119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GO:0004521 endoribonuclease activity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2.78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gene_3969,gene_3993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GO:0050660 flavin adenine dinucleotide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2.19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gene_1807,gene_22,gene_2875,gene_3556,gene_9842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GO:0016620 oxidoreductase activity, acting on the aldehyde or oxo group of donors, NAD or NADP as acceptor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2.17</w:t>
            </w:r>
          </w:p>
        </w:tc>
        <w:tc>
          <w:tcPr>
            <w:tcW w:w="451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gene_1202,gene_7919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QSH1 vs QSH4 Up-expression DEGs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GO:0006605 protein targeting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2.38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GO:0072594 establishment of protein localization to organelle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2.24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Molecular Function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GO:0016620 oxidoreductase activity, acting on the aldehyde or oxo group of donors, NAD or NADP as acceptor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2.49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gene_3674,gene_7919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GO:0020037 heme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2.42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gene_5139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GO:0003723 RNA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gene_1305,gene_802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GO:0004540 ribonuclease activity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2.05</w:t>
            </w:r>
          </w:p>
        </w:tc>
        <w:tc>
          <w:tcPr>
            <w:tcW w:w="451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010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QSH1 vs QSH4 Down-expression DEGs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Biological Process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GO:0046274 lignin catabolic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2.64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gene_3889,gene_3902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GO:0072593 reactive oxygen species metabolic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2.40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GO:0006696 ergosterol biosynthetic process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2.18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gene_10067,gene_10936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GO:0010035 response to inorganic substance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2.12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gene_4178,gene_7517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GO:1901701 cellular response to oxygen-containing compound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2.02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gene_7517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Cellular Component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GO:0005741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mitochondrial outer membrane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2.70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gene_10936,gene_5809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Molecular Function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GO:0020037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heme binding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3.37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gene_4,gene_4487,gene_5216,gene_5570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0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GO:0004601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peroxidase activity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2.21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gene_274,gene_4178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104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textAlignment w:val="auto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15"/>
                <w:szCs w:val="15"/>
                <w:highlight w:val="none"/>
                <w:u w:val="none"/>
                <w:lang w:val="en-US" w:eastAsia="zh-CN" w:bidi="ar"/>
              </w:rPr>
              <w:t>Note: KS: the significant statistics of the enrichment of the GO category, the smaller the KS value is the larger the log10(KS) is, indicating the more significant the enrichment.</w:t>
            </w:r>
          </w:p>
        </w:tc>
      </w:tr>
    </w:tbl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Times New Roman" w:hAnsi="Times New Roman" w:eastAsia="宋体" w:cs="Times New Roman"/>
          <w:i w:val="0"/>
          <w:color w:val="000000"/>
          <w:kern w:val="0"/>
          <w:sz w:val="21"/>
          <w:szCs w:val="21"/>
          <w:highlight w:val="yellow"/>
          <w:u w:val="none"/>
          <w:lang w:val="en-US" w:eastAsia="zh-CN" w:bidi="ar"/>
        </w:rPr>
      </w:pPr>
    </w:p>
    <w:p>
      <w:pPr>
        <w:spacing w:line="480" w:lineRule="auto"/>
        <w:ind w:firstLine="210" w:firstLineChars="100"/>
        <w:jc w:val="center"/>
        <w:rPr>
          <w:rFonts w:ascii="Times New Roman" w:hAnsi="Times New Roman" w:cs="Times New Roman"/>
          <w:lang w:val="en-US"/>
        </w:rPr>
      </w:pPr>
      <w:r>
        <w:rPr>
          <w:rFonts w:hint="eastAsia" w:ascii="Times New Roman" w:hAnsi="Times New Roman" w:cs="Times New Roman"/>
        </w:rPr>
        <w:t xml:space="preserve">Table </w:t>
      </w:r>
      <w:r>
        <w:rPr>
          <w:rFonts w:hint="eastAsia" w:ascii="Times New Roman" w:hAnsi="Times New Roman" w:cs="Times New Roman"/>
          <w:lang w:val="en-US" w:eastAsia="zh-CN"/>
        </w:rPr>
        <w:t>S5</w:t>
      </w:r>
      <w:r>
        <w:rPr>
          <w:rFonts w:hint="eastAsia" w:ascii="Times New Roman" w:hAnsi="Times New Roman" w:cs="Times New Roman"/>
        </w:rPr>
        <w:t xml:space="preserve"> DEGs from </w:t>
      </w:r>
      <w:r>
        <w:rPr>
          <w:rFonts w:ascii="Times New Roman" w:hAnsi="Times New Roman" w:cs="Times New Roman"/>
        </w:rPr>
        <w:t>f</w:t>
      </w:r>
      <w:r>
        <w:rPr>
          <w:rFonts w:hint="eastAsia" w:ascii="Times New Roman" w:hAnsi="Times New Roman" w:cs="Times New Roman"/>
        </w:rPr>
        <w:t>our important GO terms.</w:t>
      </w:r>
    </w:p>
    <w:tbl>
      <w:tblPr>
        <w:tblStyle w:val="3"/>
        <w:tblW w:w="10120" w:type="dxa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  <w:gridCol w:w="3390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GO term</w:t>
            </w:r>
          </w:p>
        </w:tc>
        <w:tc>
          <w:tcPr>
            <w:tcW w:w="339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 function</w:t>
            </w:r>
          </w:p>
        </w:tc>
        <w:tc>
          <w:tcPr>
            <w:tcW w:w="314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 N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o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Heme binding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GO:0020037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)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4-hydroxysphinganine ceramide fatty acyl 2-hydroxylase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gene_5570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Versatile peroxidase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gene_11851, _11537, _713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MnP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Acyl-CoA dehydrogenase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gene_22, _4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Cytochrome P450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gene_7628,_9113,_4488,_5216,_11472,_4487, gene_5139,_7522,_10935,_6568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Fumarate reductase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gene_8119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L-lactate dehydrogenase (cytochrome)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gene_4787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nitric oxide dioxygenase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gene_10651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Lignin catabolic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(GO:0046274)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L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accase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gene_3889,_3902,_1741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oxidoreductase activity, acting on the aldehyde or oxo group of donors, NAD or NADP as the acceptor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GO:0046274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)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1-pyrroline-5-carboxylate dehydrogenase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aldehyde dehydrogenase (NAD+)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gene_3674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eastAsia" w:ascii="Times New Roman" w:hAnsi="Times New Roman" w:cs="Times New Roman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Peroxidase activity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 xml:space="preserve"> (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GO:0004601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)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Versatile peroxidase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gene_11851,_11537, _713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0" w:type="dxa"/>
            <w:vMerge w:val="continue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MnP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/>
              <w:rPr>
                <w:rFonts w:hint="default"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gene_8611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035F9"/>
    <w:rsid w:val="21F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2021-04-24T12:30:00Z</dcterms:created>
  <dc:creator>Administrator</dc:creator>
  <cp:lastModifiedBy>Administrator</cp:lastModifiedBy>
  <dcterms:modified xsi:type="dcterms:W3CDTF">2021-04-24T16:01:30Z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