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D8" w:rsidRPr="00AC1968" w:rsidRDefault="00FC58D8" w:rsidP="00FC58D8">
      <w:pPr>
        <w:rPr>
          <w:rFonts w:ascii="Times New Roman" w:hAnsi="Times New Roman"/>
        </w:rPr>
      </w:pPr>
      <w:r w:rsidRPr="00AC1968">
        <w:rPr>
          <w:rFonts w:ascii="Times New Roman" w:hAnsi="Times New Roman"/>
        </w:rPr>
        <w:t>Supplementary data</w:t>
      </w:r>
    </w:p>
    <w:p w:rsidR="00FC58D8" w:rsidRPr="00AC1968" w:rsidRDefault="00FC58D8" w:rsidP="00FC58D8"/>
    <w:p w:rsidR="009C7517" w:rsidRDefault="009C7517" w:rsidP="00B83524">
      <w:pPr>
        <w:ind w:left="760" w:hanging="360"/>
        <w:jc w:val="center"/>
        <w:rPr>
          <w:rFonts w:ascii="Times New Roman" w:hAnsi="Times New Roman"/>
          <w:b/>
          <w:bCs/>
          <w:sz w:val="36"/>
          <w:lang w:val="de-DE"/>
        </w:rPr>
      </w:pPr>
      <w:bookmarkStart w:id="0" w:name="_Hlk536373999"/>
      <w:bookmarkEnd w:id="0"/>
      <w:r w:rsidRPr="009C7517">
        <w:rPr>
          <w:rFonts w:ascii="Times New Roman" w:hAnsi="Times New Roman"/>
          <w:b/>
          <w:bCs/>
          <w:sz w:val="36"/>
          <w:lang w:val="de-DE"/>
        </w:rPr>
        <w:t>Sub-ambient radiative cooling realized using CaCO</w:t>
      </w:r>
      <w:r w:rsidRPr="008A6CC4">
        <w:rPr>
          <w:rFonts w:ascii="Times New Roman" w:hAnsi="Times New Roman"/>
          <w:b/>
          <w:bCs/>
          <w:sz w:val="36"/>
          <w:vertAlign w:val="subscript"/>
          <w:lang w:val="de-DE"/>
        </w:rPr>
        <w:t>3</w:t>
      </w:r>
      <w:r w:rsidRPr="009C7517">
        <w:rPr>
          <w:rFonts w:ascii="Times New Roman" w:hAnsi="Times New Roman"/>
          <w:b/>
          <w:bCs/>
          <w:sz w:val="36"/>
          <w:lang w:val="de-DE"/>
        </w:rPr>
        <w:t xml:space="preserve"> microparticle-based single layer without metal reflector for entire </w:t>
      </w:r>
    </w:p>
    <w:p w:rsidR="00B83524" w:rsidRPr="00B83524" w:rsidRDefault="00B83524" w:rsidP="00B83524">
      <w:pPr>
        <w:ind w:left="760" w:hanging="360"/>
        <w:jc w:val="center"/>
        <w:rPr>
          <w:rFonts w:ascii="Times New Roman" w:hAnsi="Times New Roman"/>
          <w:b/>
          <w:iCs/>
          <w:vertAlign w:val="superscript"/>
        </w:rPr>
      </w:pPr>
      <w:proofErr w:type="spellStart"/>
      <w:r w:rsidRPr="00B83524">
        <w:rPr>
          <w:rFonts w:ascii="Times New Roman" w:hAnsi="Times New Roman"/>
          <w:b/>
          <w:iCs/>
        </w:rPr>
        <w:t>Hangyu</w:t>
      </w:r>
      <w:proofErr w:type="spellEnd"/>
      <w:r w:rsidRPr="00B83524">
        <w:rPr>
          <w:rFonts w:ascii="Times New Roman" w:hAnsi="Times New Roman"/>
          <w:b/>
          <w:iCs/>
        </w:rPr>
        <w:t xml:space="preserve"> Lim,</w:t>
      </w:r>
      <w:r w:rsidR="009C7517" w:rsidRPr="009C7517">
        <w:rPr>
          <w:rFonts w:ascii="Times New Roman" w:hAnsi="Times New Roman"/>
          <w:b/>
          <w:iCs/>
        </w:rPr>
        <w:t xml:space="preserve"> </w:t>
      </w:r>
      <w:r w:rsidR="009C7517" w:rsidRPr="00B83524">
        <w:rPr>
          <w:rFonts w:ascii="Times New Roman" w:hAnsi="Times New Roman"/>
          <w:b/>
          <w:iCs/>
        </w:rPr>
        <w:t>Dongwoo Chae</w:t>
      </w:r>
      <w:r w:rsidR="009C7517">
        <w:rPr>
          <w:rFonts w:ascii="Times New Roman" w:hAnsi="Times New Roman"/>
          <w:b/>
          <w:iCs/>
        </w:rPr>
        <w:t xml:space="preserve">, </w:t>
      </w:r>
      <w:proofErr w:type="spellStart"/>
      <w:r w:rsidR="009C7517">
        <w:rPr>
          <w:rFonts w:ascii="Times New Roman" w:hAnsi="Times New Roman"/>
          <w:b/>
          <w:iCs/>
        </w:rPr>
        <w:t>Soomin</w:t>
      </w:r>
      <w:proofErr w:type="spellEnd"/>
      <w:r w:rsidR="009C7517">
        <w:rPr>
          <w:rFonts w:ascii="Times New Roman" w:hAnsi="Times New Roman"/>
          <w:b/>
          <w:iCs/>
        </w:rPr>
        <w:t xml:space="preserve"> Son,</w:t>
      </w:r>
      <w:r w:rsidR="009C7517" w:rsidRPr="00B83524">
        <w:rPr>
          <w:rFonts w:ascii="Times New Roman" w:hAnsi="Times New Roman"/>
          <w:b/>
          <w:iCs/>
        </w:rPr>
        <w:t xml:space="preserve"> Sucheol Ju</w:t>
      </w:r>
      <w:r w:rsidR="009C7517">
        <w:rPr>
          <w:rFonts w:ascii="Times New Roman" w:hAnsi="Times New Roman"/>
          <w:b/>
          <w:iCs/>
        </w:rPr>
        <w:t xml:space="preserve">, </w:t>
      </w:r>
      <w:proofErr w:type="spellStart"/>
      <w:r w:rsidR="009C7517">
        <w:rPr>
          <w:rFonts w:ascii="Times New Roman" w:hAnsi="Times New Roman"/>
          <w:b/>
          <w:iCs/>
        </w:rPr>
        <w:t>Jisung</w:t>
      </w:r>
      <w:proofErr w:type="spellEnd"/>
      <w:r w:rsidR="009C7517">
        <w:rPr>
          <w:rFonts w:ascii="Times New Roman" w:hAnsi="Times New Roman"/>
          <w:b/>
          <w:iCs/>
        </w:rPr>
        <w:t xml:space="preserve"> Ha</w:t>
      </w:r>
      <w:r w:rsidRPr="00B83524">
        <w:rPr>
          <w:rFonts w:ascii="Times New Roman" w:hAnsi="Times New Roman"/>
          <w:b/>
          <w:iCs/>
        </w:rPr>
        <w:t xml:space="preserve"> and Heon Lee</w:t>
      </w:r>
      <w:r w:rsidRPr="00B83524">
        <w:rPr>
          <w:rFonts w:ascii="Times New Roman" w:hAnsi="Times New Roman"/>
          <w:b/>
          <w:iCs/>
          <w:vertAlign w:val="superscript"/>
        </w:rPr>
        <w:t xml:space="preserve"> *</w:t>
      </w:r>
    </w:p>
    <w:p w:rsidR="00FC58D8" w:rsidRPr="00AC1968" w:rsidRDefault="00FC58D8" w:rsidP="00FC58D8">
      <w:pPr>
        <w:ind w:left="760" w:hanging="360"/>
        <w:jc w:val="center"/>
        <w:rPr>
          <w:rFonts w:ascii="Times New Roman" w:hAnsi="Times New Roman"/>
          <w:b/>
        </w:rPr>
      </w:pPr>
      <w:r w:rsidRPr="00AC1968">
        <w:rPr>
          <w:rFonts w:ascii="Times New Roman" w:hAnsi="Times New Roman"/>
          <w:b/>
        </w:rPr>
        <w:t>Department of Material Science and Engineering, Korea University, Seoul, South Korea</w:t>
      </w:r>
    </w:p>
    <w:p w:rsidR="00FC58D8" w:rsidRPr="00AC1968" w:rsidRDefault="00FC58D8" w:rsidP="00FC58D8"/>
    <w:p w:rsidR="00FC58D8" w:rsidRPr="00AC1968" w:rsidRDefault="00FC58D8" w:rsidP="00FC58D8"/>
    <w:p w:rsidR="00FC58D8" w:rsidRPr="00AC1968" w:rsidRDefault="00FC58D8" w:rsidP="00FC58D8"/>
    <w:p w:rsidR="00FC58D8" w:rsidRPr="00AC1968" w:rsidRDefault="00FC58D8" w:rsidP="00FC58D8"/>
    <w:p w:rsidR="00FC58D8" w:rsidRPr="00AC1968" w:rsidRDefault="00FC58D8" w:rsidP="00FC58D8"/>
    <w:p w:rsidR="00FC58D8" w:rsidRPr="00AC1968" w:rsidRDefault="00FC58D8" w:rsidP="00FC58D8"/>
    <w:p w:rsidR="00FC58D8" w:rsidRPr="00AC1968" w:rsidRDefault="00FC58D8" w:rsidP="00FC58D8"/>
    <w:p w:rsidR="00FC58D8" w:rsidRPr="00AC1968" w:rsidRDefault="00FC58D8" w:rsidP="00FC58D8"/>
    <w:p w:rsidR="00FC58D8" w:rsidRPr="00AC1968" w:rsidRDefault="00FC58D8" w:rsidP="00FC58D8"/>
    <w:p w:rsidR="00FC58D8" w:rsidRPr="00AC1968" w:rsidRDefault="00FC58D8" w:rsidP="00FC58D8"/>
    <w:p w:rsidR="00FC58D8" w:rsidRPr="00AC1968" w:rsidRDefault="00FC58D8" w:rsidP="00FC58D8"/>
    <w:p w:rsidR="00FC58D8" w:rsidRPr="00AC1968" w:rsidRDefault="00F44564" w:rsidP="00FC58D8">
      <w:pPr>
        <w:rPr>
          <w:lang w:eastAsia="ko-KR"/>
        </w:rPr>
      </w:pPr>
      <w:r>
        <w:rPr>
          <w:lang w:eastAsia="ko-KR"/>
        </w:rPr>
        <w:t>The Supporting Information contains:</w:t>
      </w:r>
    </w:p>
    <w:p w:rsidR="00FC58D8" w:rsidRPr="00AC1968" w:rsidRDefault="00F44564" w:rsidP="00FC58D8">
      <w:pPr>
        <w:rPr>
          <w:lang w:eastAsia="ko-KR"/>
        </w:rPr>
      </w:pPr>
      <w:r>
        <w:rPr>
          <w:rFonts w:hint="eastAsia"/>
          <w:lang w:eastAsia="ko-KR"/>
        </w:rPr>
        <w:t>N</w:t>
      </w:r>
      <w:r>
        <w:rPr>
          <w:lang w:eastAsia="ko-KR"/>
        </w:rPr>
        <w:t xml:space="preserve">umber of Pages: </w:t>
      </w:r>
      <w:r w:rsidR="008A6CC4">
        <w:rPr>
          <w:lang w:eastAsia="ko-KR"/>
        </w:rPr>
        <w:t>6</w:t>
      </w:r>
    </w:p>
    <w:p w:rsidR="00F44564" w:rsidRPr="00AC1968" w:rsidRDefault="00F44564" w:rsidP="00F44564">
      <w:pPr>
        <w:rPr>
          <w:lang w:eastAsia="ko-KR"/>
        </w:rPr>
      </w:pPr>
      <w:r>
        <w:rPr>
          <w:rFonts w:hint="eastAsia"/>
          <w:lang w:eastAsia="ko-KR"/>
        </w:rPr>
        <w:t>N</w:t>
      </w:r>
      <w:r>
        <w:rPr>
          <w:lang w:eastAsia="ko-KR"/>
        </w:rPr>
        <w:t xml:space="preserve">umber of Figures: </w:t>
      </w:r>
      <w:r w:rsidR="008A6CC4">
        <w:rPr>
          <w:lang w:eastAsia="ko-KR"/>
        </w:rPr>
        <w:t>3</w:t>
      </w:r>
    </w:p>
    <w:p w:rsidR="00F44564" w:rsidRDefault="00F44564" w:rsidP="00F44564">
      <w:pPr>
        <w:rPr>
          <w:lang w:eastAsia="ko-KR"/>
        </w:rPr>
      </w:pPr>
      <w:r>
        <w:rPr>
          <w:rFonts w:hint="eastAsia"/>
          <w:lang w:eastAsia="ko-KR"/>
        </w:rPr>
        <w:t>N</w:t>
      </w:r>
      <w:r>
        <w:rPr>
          <w:lang w:eastAsia="ko-KR"/>
        </w:rPr>
        <w:t xml:space="preserve">umber of Tables: </w:t>
      </w:r>
      <w:r w:rsidR="0084107C">
        <w:rPr>
          <w:lang w:eastAsia="ko-KR"/>
        </w:rPr>
        <w:t>1</w:t>
      </w:r>
    </w:p>
    <w:p w:rsidR="0079231A" w:rsidRPr="00AC1968" w:rsidRDefault="0079231A" w:rsidP="00F44564">
      <w:pPr>
        <w:rPr>
          <w:lang w:eastAsia="ko-KR"/>
        </w:rPr>
      </w:pPr>
      <w:r>
        <w:rPr>
          <w:lang w:eastAsia="ko-KR"/>
        </w:rPr>
        <w:t>References</w:t>
      </w:r>
    </w:p>
    <w:p w:rsidR="00FC58D8" w:rsidRPr="00AC1968" w:rsidRDefault="00FC58D8" w:rsidP="00FC58D8"/>
    <w:p w:rsidR="00FC58D8" w:rsidRPr="00AC1968" w:rsidRDefault="00FC58D8" w:rsidP="00FC58D8"/>
    <w:p w:rsidR="00FC58D8" w:rsidRPr="00AC1968" w:rsidRDefault="00FC58D8" w:rsidP="00FC58D8"/>
    <w:p w:rsidR="00FC58D8" w:rsidRDefault="00FC58D8" w:rsidP="00FC58D8"/>
    <w:p w:rsidR="00B83524" w:rsidRPr="00D27F94" w:rsidRDefault="009C7517" w:rsidP="00B83524">
      <w:pPr>
        <w:pStyle w:val="Legend"/>
        <w:rPr>
          <w:b/>
        </w:rPr>
      </w:pPr>
      <w:r w:rsidRPr="009C7517">
        <w:rPr>
          <w:b/>
        </w:rPr>
        <w:object w:dxaOrig="6956" w:dyaOrig="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242.9pt" o:ole="">
            <v:imagedata r:id="rId7" o:title=""/>
          </v:shape>
          <o:OLEObject Type="Embed" ProgID="Origin50.Graph" ShapeID="_x0000_i1025" DrawAspect="Content" ObjectID="_1682503849" r:id="rId8"/>
        </w:object>
      </w:r>
      <w:r w:rsidR="00B83524" w:rsidRPr="00D27F94">
        <w:rPr>
          <w:b/>
        </w:rPr>
        <w:t xml:space="preserve"> </w:t>
      </w:r>
    </w:p>
    <w:p w:rsidR="00B83524" w:rsidRPr="00D27F94" w:rsidRDefault="00B83524" w:rsidP="00B83524">
      <w:pPr>
        <w:pStyle w:val="Legend"/>
        <w:rPr>
          <w:b/>
        </w:rPr>
      </w:pPr>
    </w:p>
    <w:p w:rsidR="009C7517" w:rsidRPr="009C7517" w:rsidRDefault="00B83524" w:rsidP="009C7517">
      <w:pPr>
        <w:spacing w:after="240" w:line="360" w:lineRule="auto"/>
        <w:rPr>
          <w:bCs/>
          <w:szCs w:val="28"/>
        </w:rPr>
      </w:pPr>
      <w:r w:rsidRPr="00E445E6">
        <w:rPr>
          <w:rFonts w:eastAsia="SimSun"/>
          <w:b/>
        </w:rPr>
        <w:t>Fig</w:t>
      </w:r>
      <w:r w:rsidRPr="00B83524">
        <w:rPr>
          <w:rFonts w:eastAsia="SimSun" w:hint="eastAsia"/>
          <w:b/>
        </w:rPr>
        <w:t>u</w:t>
      </w:r>
      <w:r w:rsidRPr="00B83524">
        <w:rPr>
          <w:rFonts w:eastAsia="SimSun"/>
          <w:b/>
        </w:rPr>
        <w:t>re</w:t>
      </w:r>
      <w:r w:rsidRPr="00E445E6">
        <w:rPr>
          <w:rFonts w:eastAsia="SimSun"/>
          <w:b/>
        </w:rPr>
        <w:t xml:space="preserve">. </w:t>
      </w:r>
      <w:r w:rsidRPr="003870DC">
        <w:rPr>
          <w:rFonts w:eastAsia="바탕체"/>
          <w:b/>
          <w:lang w:eastAsia="ko-KR"/>
        </w:rPr>
        <w:t>S</w:t>
      </w:r>
      <w:r w:rsidRPr="00E445E6">
        <w:rPr>
          <w:rFonts w:eastAsia="SimSun"/>
          <w:b/>
        </w:rPr>
        <w:t>1</w:t>
      </w:r>
      <w:r w:rsidRPr="00E445E6">
        <w:rPr>
          <w:rFonts w:eastAsia="SimSun"/>
        </w:rPr>
        <w:t xml:space="preserve"> </w:t>
      </w:r>
      <w:r w:rsidR="009C7517" w:rsidRPr="009C7517">
        <w:rPr>
          <w:bCs/>
          <w:szCs w:val="28"/>
        </w:rPr>
        <w:t>XRD 2</w:t>
      </w:r>
      <w:r w:rsidR="009C7517" w:rsidRPr="009C7517">
        <w:rPr>
          <w:bCs/>
          <w:i/>
          <w:iCs/>
          <w:szCs w:val="28"/>
        </w:rPr>
        <w:t xml:space="preserve">Ɵ </w:t>
      </w:r>
      <w:r w:rsidR="009C7517" w:rsidRPr="009C7517">
        <w:rPr>
          <w:bCs/>
          <w:szCs w:val="28"/>
        </w:rPr>
        <w:t>scan data of CaCO</w:t>
      </w:r>
      <w:r w:rsidR="009C7517" w:rsidRPr="009C7517">
        <w:rPr>
          <w:bCs/>
          <w:szCs w:val="28"/>
          <w:vertAlign w:val="subscript"/>
        </w:rPr>
        <w:t>3</w:t>
      </w:r>
      <w:r w:rsidR="009C7517" w:rsidRPr="009C7517">
        <w:rPr>
          <w:bCs/>
          <w:szCs w:val="28"/>
        </w:rPr>
        <w:t xml:space="preserve"> powders  </w:t>
      </w:r>
    </w:p>
    <w:p w:rsidR="00B83524" w:rsidRDefault="00B83524" w:rsidP="00B83524">
      <w:pPr>
        <w:spacing w:after="240" w:line="360" w:lineRule="auto"/>
        <w:rPr>
          <w:szCs w:val="28"/>
        </w:rPr>
        <w:sectPr w:rsidR="00B83524" w:rsidSect="00E74A20">
          <w:footerReference w:type="default" r:id="rId9"/>
          <w:pgSz w:w="11906" w:h="16838"/>
          <w:pgMar w:top="1417" w:right="1417" w:bottom="1134" w:left="1417" w:header="708" w:footer="907" w:gutter="0"/>
          <w:cols w:space="708"/>
          <w:docGrid w:linePitch="360"/>
        </w:sectPr>
      </w:pPr>
    </w:p>
    <w:p w:rsidR="008B0A46" w:rsidRDefault="008B0A46" w:rsidP="00B83524">
      <w:pPr>
        <w:pStyle w:val="Maintext"/>
      </w:pPr>
      <w:r w:rsidRPr="008B0A46">
        <w:rPr>
          <w:noProof/>
        </w:rPr>
        <w:lastRenderedPageBreak/>
        <w:drawing>
          <wp:inline distT="0" distB="0" distL="0" distR="0" wp14:anchorId="6245A6A0" wp14:editId="6271753B">
            <wp:extent cx="5760720" cy="233108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0"/>
                    <a:stretch>
                      <a:fillRect/>
                    </a:stretch>
                  </pic:blipFill>
                  <pic:spPr>
                    <a:xfrm>
                      <a:off x="0" y="0"/>
                      <a:ext cx="5760720" cy="2331085"/>
                    </a:xfrm>
                    <a:prstGeom prst="rect">
                      <a:avLst/>
                    </a:prstGeom>
                  </pic:spPr>
                </pic:pic>
              </a:graphicData>
            </a:graphic>
          </wp:inline>
        </w:drawing>
      </w:r>
      <w:r w:rsidRPr="008B0A46">
        <w:t xml:space="preserve"> </w:t>
      </w:r>
    </w:p>
    <w:p w:rsidR="008B0A46" w:rsidRPr="008B0A46" w:rsidRDefault="008B0A46" w:rsidP="008B0A46">
      <w:pPr>
        <w:pStyle w:val="Maintext"/>
        <w:rPr>
          <w:b w:val="0"/>
        </w:rPr>
      </w:pPr>
      <w:r w:rsidRPr="008B0A46">
        <w:t>Fig</w:t>
      </w:r>
      <w:r>
        <w:t>ure</w:t>
      </w:r>
      <w:r w:rsidRPr="008B0A46">
        <w:t>. S2</w:t>
      </w:r>
      <w:r w:rsidRPr="008B0A46">
        <w:rPr>
          <w:b w:val="0"/>
        </w:rPr>
        <w:t>. Optical properties of CaCO</w:t>
      </w:r>
      <w:r w:rsidRPr="008B0A46">
        <w:rPr>
          <w:b w:val="0"/>
          <w:vertAlign w:val="subscript"/>
        </w:rPr>
        <w:t>3</w:t>
      </w:r>
      <w:r w:rsidRPr="008B0A46">
        <w:rPr>
          <w:b w:val="0"/>
        </w:rPr>
        <w:t xml:space="preserve"> on glass in accordance with thickness. (</w:t>
      </w:r>
      <w:r>
        <w:rPr>
          <w:rFonts w:hint="eastAsia"/>
          <w:b w:val="0"/>
        </w:rPr>
        <w:t>a</w:t>
      </w:r>
      <w:r w:rsidRPr="008B0A46">
        <w:rPr>
          <w:b w:val="0"/>
        </w:rPr>
        <w:t>) Absorption and (</w:t>
      </w:r>
      <w:r>
        <w:rPr>
          <w:b w:val="0"/>
        </w:rPr>
        <w:t>b</w:t>
      </w:r>
      <w:r w:rsidRPr="008B0A46">
        <w:rPr>
          <w:b w:val="0"/>
        </w:rPr>
        <w:t>) transmittance.</w:t>
      </w: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8B0A46" w:rsidP="00B83524">
      <w:pPr>
        <w:pStyle w:val="Maintext"/>
      </w:pPr>
    </w:p>
    <w:p w:rsidR="008B0A46" w:rsidRDefault="00B83524" w:rsidP="008B0A46">
      <w:pPr>
        <w:pStyle w:val="Maintext"/>
      </w:pPr>
      <w:r w:rsidRPr="006C79C4">
        <w:lastRenderedPageBreak/>
        <w:t>Table S1</w:t>
      </w:r>
      <w:r w:rsidR="008B0A46">
        <w:t xml:space="preserve">. </w:t>
      </w:r>
      <w:r w:rsidR="008B0A46" w:rsidRPr="008B0A46">
        <w:rPr>
          <w:b w:val="0"/>
        </w:rPr>
        <w:t>Average absorption (0.3-2.5 µm), emissivity (8-13 µm) and net cooling power at 300 K in accordance with thickness of CaCO</w:t>
      </w:r>
      <w:r w:rsidR="008B0A46" w:rsidRPr="008B0A46">
        <w:rPr>
          <w:b w:val="0"/>
          <w:vertAlign w:val="subscript"/>
        </w:rPr>
        <w:t>3</w:t>
      </w:r>
      <w:r w:rsidR="008B0A46" w:rsidRPr="008B0A46">
        <w:rPr>
          <w:b w:val="0"/>
        </w:rPr>
        <w:t xml:space="preserve"> composite</w:t>
      </w:r>
      <w:r w:rsidR="008B0A46" w:rsidRPr="008B0A46">
        <w:t>.</w:t>
      </w:r>
    </w:p>
    <w:tbl>
      <w:tblPr>
        <w:tblW w:w="9072" w:type="dxa"/>
        <w:jc w:val="center"/>
        <w:tblCellMar>
          <w:left w:w="0" w:type="dxa"/>
          <w:right w:w="0" w:type="dxa"/>
        </w:tblCellMar>
        <w:tblLook w:val="0420" w:firstRow="1" w:lastRow="0" w:firstColumn="0" w:lastColumn="0" w:noHBand="0" w:noVBand="1"/>
      </w:tblPr>
      <w:tblGrid>
        <w:gridCol w:w="1137"/>
        <w:gridCol w:w="2645"/>
        <w:gridCol w:w="2645"/>
        <w:gridCol w:w="2645"/>
      </w:tblGrid>
      <w:tr w:rsidR="008B0A46" w:rsidRPr="008B0A46" w:rsidTr="008B0A46">
        <w:trPr>
          <w:trHeight w:val="230"/>
          <w:jc w:val="center"/>
        </w:trPr>
        <w:tc>
          <w:tcPr>
            <w:tcW w:w="1137" w:type="dxa"/>
            <w:tcBorders>
              <w:top w:val="single" w:sz="4" w:space="0" w:color="auto"/>
              <w:left w:val="nil"/>
              <w:bottom w:val="single" w:sz="4" w:space="0" w:color="auto"/>
              <w:right w:val="nil"/>
            </w:tcBorders>
            <w:shd w:val="clear" w:color="auto" w:fill="E7E6E6"/>
            <w:tcMar>
              <w:top w:w="72" w:type="dxa"/>
              <w:left w:w="144" w:type="dxa"/>
              <w:bottom w:w="72" w:type="dxa"/>
              <w:right w:w="144" w:type="dxa"/>
            </w:tcMar>
            <w:vAlign w:val="center"/>
            <w:hideMark/>
          </w:tcPr>
          <w:p w:rsidR="008B0A46" w:rsidRPr="008B0A46" w:rsidRDefault="008B0A46" w:rsidP="008B0A46">
            <w:pPr>
              <w:pStyle w:val="Maintext"/>
              <w:jc w:val="center"/>
              <w:rPr>
                <w:b w:val="0"/>
                <w:sz w:val="20"/>
              </w:rPr>
            </w:pPr>
            <w:r w:rsidRPr="008B0A46">
              <w:rPr>
                <w:b w:val="0"/>
                <w:sz w:val="20"/>
              </w:rPr>
              <w:t>Sample</w:t>
            </w:r>
          </w:p>
        </w:tc>
        <w:tc>
          <w:tcPr>
            <w:tcW w:w="2645" w:type="dxa"/>
            <w:tcBorders>
              <w:top w:val="single" w:sz="4" w:space="0" w:color="auto"/>
              <w:left w:val="nil"/>
              <w:bottom w:val="single" w:sz="4" w:space="0" w:color="auto"/>
              <w:right w:val="nil"/>
            </w:tcBorders>
            <w:shd w:val="clear" w:color="auto" w:fill="E7E6E6"/>
            <w:tcMar>
              <w:top w:w="72" w:type="dxa"/>
              <w:left w:w="144" w:type="dxa"/>
              <w:bottom w:w="72" w:type="dxa"/>
              <w:right w:w="144" w:type="dxa"/>
            </w:tcMar>
            <w:vAlign w:val="center"/>
            <w:hideMark/>
          </w:tcPr>
          <w:p w:rsidR="008B0A46" w:rsidRPr="008B0A46" w:rsidRDefault="008B0A46" w:rsidP="008B0A46">
            <w:pPr>
              <w:pStyle w:val="Maintext"/>
              <w:jc w:val="center"/>
              <w:rPr>
                <w:b w:val="0"/>
                <w:sz w:val="20"/>
              </w:rPr>
            </w:pPr>
            <w:r w:rsidRPr="008B0A46">
              <w:rPr>
                <w:b w:val="0"/>
                <w:sz w:val="20"/>
              </w:rPr>
              <w:t>Solar power absorption ratio</w:t>
            </w:r>
          </w:p>
          <w:p w:rsidR="008B0A46" w:rsidRPr="008B0A46" w:rsidRDefault="008B0A46" w:rsidP="008B0A46">
            <w:pPr>
              <w:pStyle w:val="Maintext"/>
              <w:jc w:val="center"/>
              <w:rPr>
                <w:b w:val="0"/>
                <w:sz w:val="20"/>
              </w:rPr>
            </w:pPr>
            <w:r w:rsidRPr="008B0A46">
              <w:rPr>
                <w:b w:val="0"/>
                <w:sz w:val="20"/>
              </w:rPr>
              <w:t>(0.3-2.5 µm)</w:t>
            </w:r>
          </w:p>
        </w:tc>
        <w:tc>
          <w:tcPr>
            <w:tcW w:w="2645" w:type="dxa"/>
            <w:tcBorders>
              <w:top w:val="single" w:sz="4" w:space="0" w:color="auto"/>
              <w:left w:val="nil"/>
              <w:bottom w:val="single" w:sz="4" w:space="0" w:color="auto"/>
              <w:right w:val="nil"/>
            </w:tcBorders>
            <w:shd w:val="clear" w:color="auto" w:fill="E7E6E6"/>
            <w:tcMar>
              <w:top w:w="72" w:type="dxa"/>
              <w:left w:w="144" w:type="dxa"/>
              <w:bottom w:w="72" w:type="dxa"/>
              <w:right w:w="144" w:type="dxa"/>
            </w:tcMar>
            <w:vAlign w:val="center"/>
            <w:hideMark/>
          </w:tcPr>
          <w:p w:rsidR="008B0A46" w:rsidRPr="008B0A46" w:rsidRDefault="008B0A46" w:rsidP="008B0A46">
            <w:pPr>
              <w:pStyle w:val="Maintext"/>
              <w:jc w:val="center"/>
              <w:rPr>
                <w:b w:val="0"/>
                <w:sz w:val="20"/>
              </w:rPr>
            </w:pPr>
            <w:r w:rsidRPr="008B0A46">
              <w:rPr>
                <w:b w:val="0"/>
                <w:sz w:val="20"/>
              </w:rPr>
              <w:t>Average emissivity</w:t>
            </w:r>
          </w:p>
          <w:p w:rsidR="008B0A46" w:rsidRPr="008B0A46" w:rsidRDefault="008B0A46" w:rsidP="008B0A46">
            <w:pPr>
              <w:pStyle w:val="Maintext"/>
              <w:jc w:val="center"/>
              <w:rPr>
                <w:b w:val="0"/>
                <w:sz w:val="20"/>
              </w:rPr>
            </w:pPr>
            <w:r w:rsidRPr="008B0A46">
              <w:rPr>
                <w:b w:val="0"/>
                <w:sz w:val="20"/>
              </w:rPr>
              <w:t>(8-13 µm)</w:t>
            </w:r>
          </w:p>
        </w:tc>
        <w:tc>
          <w:tcPr>
            <w:tcW w:w="2645" w:type="dxa"/>
            <w:tcBorders>
              <w:top w:val="single" w:sz="4" w:space="0" w:color="auto"/>
              <w:left w:val="nil"/>
              <w:bottom w:val="single" w:sz="4" w:space="0" w:color="auto"/>
              <w:right w:val="nil"/>
            </w:tcBorders>
            <w:shd w:val="clear" w:color="auto" w:fill="E7E6E6"/>
            <w:tcMar>
              <w:top w:w="72" w:type="dxa"/>
              <w:left w:w="144" w:type="dxa"/>
              <w:bottom w:w="72" w:type="dxa"/>
              <w:right w:w="144" w:type="dxa"/>
            </w:tcMar>
            <w:vAlign w:val="center"/>
            <w:hideMark/>
          </w:tcPr>
          <w:p w:rsidR="008B0A46" w:rsidRPr="008B0A46" w:rsidRDefault="008B0A46" w:rsidP="008B0A46">
            <w:pPr>
              <w:pStyle w:val="Maintext"/>
              <w:jc w:val="center"/>
              <w:rPr>
                <w:b w:val="0"/>
                <w:sz w:val="20"/>
              </w:rPr>
            </w:pPr>
            <w:r w:rsidRPr="008B0A46">
              <w:rPr>
                <w:b w:val="0"/>
                <w:sz w:val="20"/>
              </w:rPr>
              <w:t>Net cooling power at 300 K</w:t>
            </w:r>
          </w:p>
          <w:p w:rsidR="008B0A46" w:rsidRPr="008B0A46" w:rsidRDefault="008B0A46" w:rsidP="008B0A46">
            <w:pPr>
              <w:pStyle w:val="Maintext"/>
              <w:jc w:val="center"/>
              <w:rPr>
                <w:b w:val="0"/>
                <w:sz w:val="20"/>
              </w:rPr>
            </w:pPr>
            <w:r w:rsidRPr="008B0A46">
              <w:rPr>
                <w:b w:val="0"/>
                <w:sz w:val="20"/>
              </w:rPr>
              <w:t>(W/m</w:t>
            </w:r>
            <w:r w:rsidRPr="008B0A46">
              <w:rPr>
                <w:b w:val="0"/>
                <w:sz w:val="20"/>
                <w:vertAlign w:val="superscript"/>
              </w:rPr>
              <w:t>2</w:t>
            </w:r>
            <w:r w:rsidRPr="008B0A46">
              <w:rPr>
                <w:b w:val="0"/>
                <w:sz w:val="20"/>
              </w:rPr>
              <w:t>)</w:t>
            </w:r>
          </w:p>
        </w:tc>
      </w:tr>
      <w:tr w:rsidR="008B0A46" w:rsidRPr="008B0A46" w:rsidTr="008B0A46">
        <w:trPr>
          <w:jc w:val="center"/>
        </w:trPr>
        <w:tc>
          <w:tcPr>
            <w:tcW w:w="1137"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rsidR="008B0A46" w:rsidRPr="008B0A46" w:rsidRDefault="008B0A46" w:rsidP="008B0A46">
            <w:pPr>
              <w:pStyle w:val="Maintext"/>
              <w:jc w:val="center"/>
              <w:rPr>
                <w:b w:val="0"/>
                <w:sz w:val="20"/>
              </w:rPr>
            </w:pPr>
            <w:r w:rsidRPr="008B0A46">
              <w:rPr>
                <w:b w:val="0"/>
                <w:sz w:val="20"/>
              </w:rPr>
              <w:t>130 µm</w:t>
            </w:r>
          </w:p>
        </w:tc>
        <w:tc>
          <w:tcPr>
            <w:tcW w:w="264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0.027</w:t>
            </w:r>
          </w:p>
        </w:tc>
        <w:tc>
          <w:tcPr>
            <w:tcW w:w="264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0.883</w:t>
            </w:r>
          </w:p>
        </w:tc>
        <w:tc>
          <w:tcPr>
            <w:tcW w:w="264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105.5</w:t>
            </w:r>
          </w:p>
        </w:tc>
      </w:tr>
      <w:tr w:rsidR="008B0A46" w:rsidRPr="008B0A46" w:rsidTr="008B0A46">
        <w:trPr>
          <w:jc w:val="center"/>
        </w:trPr>
        <w:tc>
          <w:tcPr>
            <w:tcW w:w="1137" w:type="dxa"/>
            <w:tcBorders>
              <w:top w:val="nil"/>
              <w:left w:val="nil"/>
              <w:bottom w:val="nil"/>
              <w:right w:val="nil"/>
            </w:tcBorders>
            <w:shd w:val="clear" w:color="auto" w:fill="auto"/>
            <w:tcMar>
              <w:top w:w="72" w:type="dxa"/>
              <w:left w:w="144" w:type="dxa"/>
              <w:bottom w:w="72" w:type="dxa"/>
              <w:right w:w="144" w:type="dxa"/>
            </w:tcMar>
            <w:vAlign w:val="center"/>
            <w:hideMark/>
          </w:tcPr>
          <w:p w:rsidR="008B0A46" w:rsidRPr="008B0A46" w:rsidRDefault="008B0A46" w:rsidP="008B0A46">
            <w:pPr>
              <w:pStyle w:val="Maintext"/>
              <w:jc w:val="center"/>
              <w:rPr>
                <w:b w:val="0"/>
                <w:sz w:val="20"/>
              </w:rPr>
            </w:pPr>
            <w:r w:rsidRPr="008B0A46">
              <w:rPr>
                <w:b w:val="0"/>
                <w:sz w:val="20"/>
              </w:rPr>
              <w:t>240 µm</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0.042</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0.902</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95.0</w:t>
            </w:r>
          </w:p>
        </w:tc>
      </w:tr>
      <w:tr w:rsidR="008B0A46" w:rsidRPr="008B0A46" w:rsidTr="008B0A46">
        <w:trPr>
          <w:jc w:val="center"/>
        </w:trPr>
        <w:tc>
          <w:tcPr>
            <w:tcW w:w="1137" w:type="dxa"/>
            <w:tcBorders>
              <w:top w:val="nil"/>
              <w:left w:val="nil"/>
              <w:bottom w:val="nil"/>
              <w:right w:val="nil"/>
            </w:tcBorders>
            <w:shd w:val="clear" w:color="auto" w:fill="auto"/>
            <w:tcMar>
              <w:top w:w="72" w:type="dxa"/>
              <w:left w:w="144" w:type="dxa"/>
              <w:bottom w:w="72" w:type="dxa"/>
              <w:right w:w="144" w:type="dxa"/>
            </w:tcMar>
            <w:vAlign w:val="center"/>
            <w:hideMark/>
          </w:tcPr>
          <w:p w:rsidR="008B0A46" w:rsidRPr="008B0A46" w:rsidRDefault="008B0A46" w:rsidP="008B0A46">
            <w:pPr>
              <w:pStyle w:val="Maintext"/>
              <w:jc w:val="center"/>
              <w:rPr>
                <w:b w:val="0"/>
                <w:sz w:val="20"/>
              </w:rPr>
            </w:pPr>
            <w:r w:rsidRPr="008B0A46">
              <w:rPr>
                <w:b w:val="0"/>
                <w:sz w:val="20"/>
              </w:rPr>
              <w:t>350 µm</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0.041</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0.896</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93.1</w:t>
            </w:r>
          </w:p>
        </w:tc>
      </w:tr>
      <w:tr w:rsidR="008B0A46" w:rsidRPr="008B0A46" w:rsidTr="008B0A46">
        <w:trPr>
          <w:jc w:val="center"/>
        </w:trPr>
        <w:tc>
          <w:tcPr>
            <w:tcW w:w="1137" w:type="dxa"/>
            <w:tcBorders>
              <w:top w:val="nil"/>
              <w:left w:val="nil"/>
              <w:bottom w:val="nil"/>
              <w:right w:val="nil"/>
            </w:tcBorders>
            <w:shd w:val="clear" w:color="auto" w:fill="auto"/>
            <w:tcMar>
              <w:top w:w="72" w:type="dxa"/>
              <w:left w:w="144" w:type="dxa"/>
              <w:bottom w:w="72" w:type="dxa"/>
              <w:right w:w="144" w:type="dxa"/>
            </w:tcMar>
            <w:vAlign w:val="center"/>
            <w:hideMark/>
          </w:tcPr>
          <w:p w:rsidR="008B0A46" w:rsidRPr="008B0A46" w:rsidRDefault="008B0A46" w:rsidP="008B0A46">
            <w:pPr>
              <w:pStyle w:val="Maintext"/>
              <w:jc w:val="center"/>
              <w:rPr>
                <w:b w:val="0"/>
                <w:sz w:val="20"/>
              </w:rPr>
            </w:pPr>
            <w:r w:rsidRPr="008B0A46">
              <w:rPr>
                <w:b w:val="0"/>
                <w:sz w:val="20"/>
              </w:rPr>
              <w:t>500 µm</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0.079</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0.886</w:t>
            </w:r>
          </w:p>
        </w:tc>
        <w:tc>
          <w:tcPr>
            <w:tcW w:w="2645" w:type="dxa"/>
            <w:tcBorders>
              <w:top w:val="nil"/>
              <w:left w:val="nil"/>
              <w:bottom w:val="nil"/>
              <w:right w:val="nil"/>
            </w:tcBorders>
            <w:shd w:val="clear" w:color="auto" w:fill="auto"/>
            <w:tcMar>
              <w:top w:w="15" w:type="dxa"/>
              <w:left w:w="15" w:type="dxa"/>
              <w:bottom w:w="0" w:type="dxa"/>
              <w:right w:w="15" w:type="dxa"/>
            </w:tcMar>
            <w:vAlign w:val="center"/>
            <w:hideMark/>
          </w:tcPr>
          <w:p w:rsidR="008B0A46" w:rsidRPr="008B0A46" w:rsidRDefault="008B0A46" w:rsidP="008B0A46">
            <w:pPr>
              <w:pStyle w:val="Maintext"/>
              <w:jc w:val="center"/>
              <w:rPr>
                <w:b w:val="0"/>
                <w:sz w:val="20"/>
              </w:rPr>
            </w:pPr>
            <w:r w:rsidRPr="008B0A46">
              <w:rPr>
                <w:b w:val="0"/>
                <w:sz w:val="20"/>
              </w:rPr>
              <w:t>59.7</w:t>
            </w:r>
          </w:p>
        </w:tc>
      </w:tr>
    </w:tbl>
    <w:p w:rsidR="00B83524" w:rsidRPr="00F52931" w:rsidRDefault="00B83524" w:rsidP="00B83524">
      <w:pPr>
        <w:rPr>
          <w:lang w:eastAsia="ko-KR"/>
        </w:rPr>
      </w:pPr>
    </w:p>
    <w:p w:rsidR="00B83524" w:rsidRPr="006C79C4" w:rsidRDefault="00B83524" w:rsidP="00B83524">
      <w:pPr>
        <w:jc w:val="right"/>
        <w:rPr>
          <w:lang w:eastAsia="ko-KR"/>
        </w:rPr>
      </w:pPr>
    </w:p>
    <w:p w:rsidR="00B83524" w:rsidRPr="006C79C4" w:rsidRDefault="00B83524" w:rsidP="00B83524">
      <w:pPr>
        <w:rPr>
          <w:b/>
          <w:bCs/>
          <w:color w:val="000000" w:themeColor="text1"/>
          <w:lang w:eastAsia="ko-KR"/>
        </w:rPr>
      </w:pPr>
    </w:p>
    <w:p w:rsidR="00B83524" w:rsidRPr="006C79C4" w:rsidRDefault="00B83524" w:rsidP="00B83524">
      <w:pPr>
        <w:rPr>
          <w:lang w:eastAsia="ko-KR"/>
        </w:rPr>
        <w:sectPr w:rsidR="00B83524" w:rsidRPr="006C79C4" w:rsidSect="00E74A20">
          <w:pgSz w:w="11906" w:h="16838"/>
          <w:pgMar w:top="1417" w:right="1417" w:bottom="1134" w:left="1417" w:header="708" w:footer="907" w:gutter="0"/>
          <w:cols w:space="708"/>
          <w:docGrid w:linePitch="360"/>
        </w:sectPr>
      </w:pPr>
    </w:p>
    <w:p w:rsidR="00B83524" w:rsidRPr="00D27F94" w:rsidRDefault="00B93CE0" w:rsidP="00B83524">
      <w:pPr>
        <w:pStyle w:val="Legend"/>
        <w:rPr>
          <w:b/>
        </w:rPr>
      </w:pPr>
      <w:r w:rsidRPr="00B93CE0">
        <w:rPr>
          <w:b/>
          <w:noProof/>
          <w:lang w:eastAsia="ko-KR"/>
        </w:rPr>
        <w:lastRenderedPageBreak/>
        <w:drawing>
          <wp:inline distT="0" distB="0" distL="0" distR="0" wp14:anchorId="201818DC" wp14:editId="28CBD9CE">
            <wp:extent cx="5760720" cy="4419600"/>
            <wp:effectExtent l="0" t="0" r="0" b="0"/>
            <wp:docPr id="12"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그림 11"/>
                    <pic:cNvPicPr>
                      <a:picLocks noChangeAspect="1"/>
                    </pic:cNvPicPr>
                  </pic:nvPicPr>
                  <pic:blipFill>
                    <a:blip r:embed="rId11"/>
                    <a:stretch>
                      <a:fillRect/>
                    </a:stretch>
                  </pic:blipFill>
                  <pic:spPr>
                    <a:xfrm>
                      <a:off x="0" y="0"/>
                      <a:ext cx="5760720" cy="4419600"/>
                    </a:xfrm>
                    <a:prstGeom prst="rect">
                      <a:avLst/>
                    </a:prstGeom>
                  </pic:spPr>
                </pic:pic>
              </a:graphicData>
            </a:graphic>
          </wp:inline>
        </w:drawing>
      </w:r>
      <w:r w:rsidR="00B83524" w:rsidRPr="00D27F94">
        <w:rPr>
          <w:b/>
        </w:rPr>
        <w:t xml:space="preserve"> </w:t>
      </w:r>
    </w:p>
    <w:p w:rsidR="00B83524" w:rsidRPr="00D27F94" w:rsidRDefault="00B83524" w:rsidP="00B83524">
      <w:pPr>
        <w:pStyle w:val="Legend"/>
        <w:rPr>
          <w:b/>
        </w:rPr>
      </w:pPr>
    </w:p>
    <w:p w:rsidR="00B93CE0" w:rsidRDefault="00B83524" w:rsidP="00B93CE0">
      <w:pPr>
        <w:spacing w:after="240" w:line="360" w:lineRule="auto"/>
        <w:rPr>
          <w:rStyle w:val="fontstyle01"/>
        </w:rPr>
      </w:pPr>
      <w:r w:rsidRPr="00E445E6">
        <w:rPr>
          <w:rFonts w:eastAsia="SimSun"/>
          <w:b/>
        </w:rPr>
        <w:t>Fig</w:t>
      </w:r>
      <w:r w:rsidRPr="00B83524">
        <w:rPr>
          <w:rFonts w:eastAsia="SimSun" w:hint="eastAsia"/>
          <w:b/>
        </w:rPr>
        <w:t>u</w:t>
      </w:r>
      <w:r w:rsidRPr="00B83524">
        <w:rPr>
          <w:rFonts w:eastAsia="SimSun"/>
          <w:b/>
        </w:rPr>
        <w:t>re</w:t>
      </w:r>
      <w:r w:rsidRPr="00E445E6">
        <w:rPr>
          <w:rFonts w:eastAsia="SimSun"/>
          <w:b/>
        </w:rPr>
        <w:t xml:space="preserve">. </w:t>
      </w:r>
      <w:r w:rsidRPr="003870DC">
        <w:rPr>
          <w:rFonts w:eastAsia="바탕체"/>
          <w:b/>
          <w:lang w:eastAsia="ko-KR"/>
        </w:rPr>
        <w:t>S</w:t>
      </w:r>
      <w:r w:rsidR="00BF7F83">
        <w:rPr>
          <w:rFonts w:eastAsia="SimSun"/>
          <w:b/>
        </w:rPr>
        <w:t>3</w:t>
      </w:r>
      <w:r w:rsidR="00B93CE0">
        <w:rPr>
          <w:rFonts w:eastAsia="SimSun"/>
          <w:b/>
        </w:rPr>
        <w:t>.</w:t>
      </w:r>
      <w:r w:rsidRPr="00E445E6">
        <w:rPr>
          <w:rFonts w:eastAsia="SimSun"/>
          <w:b/>
        </w:rPr>
        <w:t xml:space="preserve"> </w:t>
      </w:r>
      <w:r w:rsidR="00B93CE0">
        <w:rPr>
          <w:rFonts w:eastAsia="SimSun"/>
          <w:b/>
        </w:rPr>
        <w:t>(</w:t>
      </w:r>
      <w:r w:rsidR="00B93CE0">
        <w:rPr>
          <w:rStyle w:val="fontstyle01"/>
        </w:rPr>
        <w:t>a) Solar power density of AM1.5 direct + circumsolar and (b) ideal and (c) mid-latitude atmospheric transmittance window in range of 0.3–15 μm.</w:t>
      </w:r>
      <w:r w:rsidR="00432D91">
        <w:rPr>
          <w:rStyle w:val="fontstyle01"/>
        </w:rPr>
        <w:fldChar w:fldCharType="begin" w:fldLock="1"/>
      </w:r>
      <w:r w:rsidR="00552010">
        <w:rPr>
          <w:rStyle w:val="fontstyle01"/>
        </w:rPr>
        <w:instrText>ADDIN CSL_CITATION {"citationItems":[{"id":"ITEM-1","itemData":{"DOI":"10.1109/WHISPERS.2014.8077573","ISBN":"9781467390125","ISSN":"21586276","abstract":"The MODTRAN6 radiative transfer (RT) code is a major advancement over earlier versions of the MODTRAN atmospheric transmittance and radiance model. This version of the code incorporates modern software architecture including an application programming interface, enhanced physics features including a line-by-line algorithm, a supplementary physics toolkit, and new documentation. The application programming interface has been developed for ease of integration into user applications. The MODTRAN code has been restructured towards a modular, object-oriented architecture to simplify upgrades as well as facilitate integration with other developers' codes. MODTRAN now includes a line-by-line algorithm for high resolution RT calculations as well as coupling to optical scattering codes for easy implementation of custom aerosols and clouds.","author":[{"dropping-particle":"","family":"Berk","given":"A.","non-dropping-particle":"","parse-names":false,"suffix":""},{"dropping-particle":"","family":"Conforti","given":"P.","non-dropping-particle":"","parse-names":false,"suffix":""},{"dropping-particle":"","family":"Kennett","given":"R.","non-dropping-particle":"","parse-names":false,"suffix":""},{"dropping-particle":"","family":"Perkins","given":"T.","non-dropping-particle":"","parse-names":false,"suffix":""},{"dropping-particle":"","family":"Hawes","given":"F.","non-dropping-particle":"","parse-names":false,"suffix":""},{"dropping-particle":"","family":"Bosch","given":"J.","non-dropping-particle":"Van Den","parse-names":false,"suffix":""}],"container-title":"Workshop on Hyperspectral Image and Signal Processing, Evolution in Remote Sensing","id":"ITEM-1","issued":{"date-parts":[["2014","6","28"]]},"publisher":"IEEE Computer Society","title":"MODTRAN® 6: A major upgrade of the MODTRAN® radiative transfer code","type":"paper-conference","volume":"2014-June"},"uris":["http://www.mendeley.com/documents/?uuid=5bab9250-13f8-35c9-88fb-4014522abe7c"]}],"mendeley":{"formattedCitation":"&lt;sup&gt;1&lt;/sup&gt;","plainTextFormattedCitation":"1","previouslyFormattedCitation":"&lt;sup&gt;1&lt;/sup&gt;"},"properties":{"noteIndex":0},"schema":"https://github.com/citation-style-language/schema/raw/master/csl-citation.json"}</w:instrText>
      </w:r>
      <w:r w:rsidR="00432D91">
        <w:rPr>
          <w:rStyle w:val="fontstyle01"/>
        </w:rPr>
        <w:fldChar w:fldCharType="separate"/>
      </w:r>
      <w:r w:rsidR="00552010" w:rsidRPr="00552010">
        <w:rPr>
          <w:rStyle w:val="fontstyle01"/>
          <w:noProof/>
          <w:vertAlign w:val="superscript"/>
        </w:rPr>
        <w:t>1</w:t>
      </w:r>
      <w:r w:rsidR="00432D91">
        <w:rPr>
          <w:rStyle w:val="fontstyle01"/>
        </w:rPr>
        <w:fldChar w:fldCharType="end"/>
      </w:r>
      <w:r w:rsidR="00552010">
        <w:rPr>
          <w:rStyle w:val="fontstyle01"/>
          <w:vertAlign w:val="superscript"/>
        </w:rPr>
        <w:t>,2</w:t>
      </w:r>
      <w:r w:rsidR="00B93CE0">
        <w:rPr>
          <w:rStyle w:val="fontstyle01"/>
          <w:sz w:val="16"/>
          <w:szCs w:val="16"/>
        </w:rPr>
        <w:t xml:space="preserve"> </w:t>
      </w:r>
      <w:r w:rsidR="00B93CE0">
        <w:rPr>
          <w:rStyle w:val="fontstyle01"/>
        </w:rPr>
        <w:t>(d) Transmittance of</w:t>
      </w:r>
      <w:r w:rsidR="00B93CE0">
        <w:rPr>
          <w:rFonts w:ascii="Times New Roman" w:hAnsi="Times New Roman"/>
          <w:color w:val="000000"/>
        </w:rPr>
        <w:br/>
      </w:r>
      <w:r w:rsidR="00B93CE0">
        <w:rPr>
          <w:rStyle w:val="fontstyle01"/>
        </w:rPr>
        <w:t>LDPE film using wind shield when measuring outside.</w:t>
      </w:r>
    </w:p>
    <w:p w:rsidR="00B93CE0" w:rsidRDefault="00B93CE0" w:rsidP="00B93CE0">
      <w:pPr>
        <w:spacing w:after="240" w:line="360" w:lineRule="auto"/>
        <w:rPr>
          <w:rStyle w:val="fontstyle01"/>
        </w:rPr>
      </w:pPr>
    </w:p>
    <w:p w:rsidR="00B93CE0" w:rsidRDefault="00B93CE0" w:rsidP="00B93CE0">
      <w:pPr>
        <w:spacing w:after="240" w:line="360" w:lineRule="auto"/>
        <w:rPr>
          <w:rStyle w:val="fontstyle01"/>
        </w:rPr>
      </w:pPr>
      <w:bookmarkStart w:id="1" w:name="_GoBack"/>
      <w:bookmarkEnd w:id="1"/>
    </w:p>
    <w:p w:rsidR="00B93CE0" w:rsidRDefault="00B93CE0" w:rsidP="00B93CE0">
      <w:pPr>
        <w:spacing w:after="240" w:line="360" w:lineRule="auto"/>
        <w:rPr>
          <w:rStyle w:val="fontstyle01"/>
        </w:rPr>
      </w:pPr>
    </w:p>
    <w:p w:rsidR="00B93CE0" w:rsidRDefault="00B93CE0" w:rsidP="00B93CE0">
      <w:pPr>
        <w:spacing w:after="240" w:line="360" w:lineRule="auto"/>
        <w:rPr>
          <w:rStyle w:val="fontstyle01"/>
        </w:rPr>
      </w:pPr>
    </w:p>
    <w:p w:rsidR="00B93CE0" w:rsidRDefault="00B93CE0" w:rsidP="00B93CE0">
      <w:pPr>
        <w:spacing w:after="240" w:line="360" w:lineRule="auto"/>
        <w:rPr>
          <w:rStyle w:val="fontstyle01"/>
        </w:rPr>
      </w:pPr>
    </w:p>
    <w:p w:rsidR="00B93CE0" w:rsidRDefault="00B93CE0" w:rsidP="00B93CE0">
      <w:pPr>
        <w:spacing w:after="240" w:line="360" w:lineRule="auto"/>
        <w:rPr>
          <w:rStyle w:val="fontstyle01"/>
        </w:rPr>
      </w:pPr>
    </w:p>
    <w:p w:rsidR="00B93CE0" w:rsidRDefault="00B93CE0" w:rsidP="00B93CE0">
      <w:pPr>
        <w:spacing w:after="240" w:line="360" w:lineRule="auto"/>
        <w:rPr>
          <w:rStyle w:val="fontstyle01"/>
        </w:rPr>
      </w:pPr>
    </w:p>
    <w:p w:rsidR="005074AB" w:rsidRDefault="005074AB" w:rsidP="00B93CE0">
      <w:pPr>
        <w:spacing w:line="480" w:lineRule="auto"/>
        <w:rPr>
          <w:rFonts w:ascii="Times New Roman" w:hAnsi="Times New Roman"/>
          <w:b/>
          <w:szCs w:val="24"/>
          <w:lang w:eastAsia="ko-KR"/>
        </w:rPr>
      </w:pPr>
      <w:r>
        <w:rPr>
          <w:rFonts w:ascii="Times New Roman" w:hAnsi="Times New Roman" w:hint="eastAsia"/>
          <w:b/>
          <w:szCs w:val="24"/>
          <w:lang w:eastAsia="ko-KR"/>
        </w:rPr>
        <w:lastRenderedPageBreak/>
        <w:t>References</w:t>
      </w:r>
    </w:p>
    <w:p w:rsidR="00552010" w:rsidRDefault="00552010" w:rsidP="00552010">
      <w:pPr>
        <w:adjustRightInd w:val="0"/>
        <w:spacing w:line="480" w:lineRule="auto"/>
        <w:jc w:val="left"/>
        <w:rPr>
          <w:rFonts w:cs="Times"/>
          <w:noProof/>
          <w:szCs w:val="24"/>
        </w:rPr>
      </w:pPr>
      <w:r>
        <w:fldChar w:fldCharType="begin" w:fldLock="1"/>
      </w:r>
      <w:r>
        <w:instrText xml:space="preserve">ADDIN Mendeley Bibliography CSL_BIBLIOGRAPHY </w:instrText>
      </w:r>
      <w:r>
        <w:fldChar w:fldCharType="separate"/>
      </w:r>
      <w:r>
        <w:rPr>
          <w:rFonts w:cs="Times"/>
          <w:noProof/>
          <w:szCs w:val="24"/>
        </w:rPr>
        <w:t xml:space="preserve">1. </w:t>
      </w:r>
      <w:r w:rsidRPr="00552010">
        <w:rPr>
          <w:rFonts w:cs="Times"/>
          <w:noProof/>
          <w:szCs w:val="24"/>
        </w:rPr>
        <w:t xml:space="preserve">Berk, A. </w:t>
      </w:r>
      <w:r w:rsidRPr="00552010">
        <w:rPr>
          <w:rFonts w:cs="Times"/>
          <w:i/>
          <w:iCs/>
          <w:noProof/>
          <w:szCs w:val="24"/>
        </w:rPr>
        <w:t>et al.</w:t>
      </w:r>
      <w:r w:rsidRPr="00552010">
        <w:rPr>
          <w:rFonts w:cs="Times"/>
          <w:noProof/>
          <w:szCs w:val="24"/>
        </w:rPr>
        <w:t xml:space="preserve"> MODTRAN® 6: A major upgrade of the MODTRAN® radiative transfer code. in </w:t>
      </w:r>
      <w:r w:rsidRPr="00552010">
        <w:rPr>
          <w:rFonts w:cs="Times"/>
          <w:i/>
          <w:iCs/>
          <w:noProof/>
          <w:szCs w:val="24"/>
        </w:rPr>
        <w:t>Workshop on Hyperspectral Image and Signal Processing, Evolution in Remote Sensing</w:t>
      </w:r>
      <w:r w:rsidRPr="00552010">
        <w:rPr>
          <w:rFonts w:cs="Times"/>
          <w:noProof/>
          <w:szCs w:val="24"/>
        </w:rPr>
        <w:t xml:space="preserve"> vols 2014-June (IEEE Computer Society, 2014).</w:t>
      </w:r>
    </w:p>
    <w:p w:rsidR="00552010" w:rsidRPr="00552010" w:rsidRDefault="00552010" w:rsidP="00552010">
      <w:pPr>
        <w:adjustRightInd w:val="0"/>
        <w:spacing w:line="480" w:lineRule="auto"/>
        <w:jc w:val="left"/>
        <w:rPr>
          <w:rFonts w:cs="Times"/>
          <w:noProof/>
        </w:rPr>
      </w:pPr>
      <w:r>
        <w:t xml:space="preserve">2. </w:t>
      </w:r>
      <w:r w:rsidRPr="00073E04">
        <w:t xml:space="preserve">S. D. Lord, </w:t>
      </w:r>
      <w:r w:rsidRPr="00073E04">
        <w:rPr>
          <w:i/>
        </w:rPr>
        <w:t>A New Software Tool for Computing Earth's Atmospheric Transmission of Near- and Far-Infrared Radiation,</w:t>
      </w:r>
      <w:r w:rsidRPr="00073E04">
        <w:t xml:space="preserve"> Vol. 103957, Ames Research Center, Moffett Field, CA, USA </w:t>
      </w:r>
      <w:r w:rsidRPr="00073E04">
        <w:rPr>
          <w:b/>
        </w:rPr>
        <w:t>1992</w:t>
      </w:r>
    </w:p>
    <w:p w:rsidR="00B93CE0" w:rsidRDefault="00552010" w:rsidP="00552010">
      <w:pPr>
        <w:spacing w:line="480" w:lineRule="auto"/>
        <w:rPr>
          <w:rFonts w:ascii="Times New Roman" w:hAnsi="Times New Roman"/>
          <w:b/>
          <w:szCs w:val="24"/>
        </w:rPr>
      </w:pPr>
      <w:r>
        <w:fldChar w:fldCharType="end"/>
      </w:r>
    </w:p>
    <w:p w:rsidR="00B93CE0" w:rsidRPr="00B93CE0" w:rsidRDefault="00B93CE0" w:rsidP="00B93CE0">
      <w:pPr>
        <w:spacing w:after="240" w:line="360" w:lineRule="auto"/>
        <w:ind w:left="795" w:hanging="795"/>
        <w:rPr>
          <w:rFonts w:ascii="Times New Roman" w:hAnsi="Times New Roman"/>
          <w:szCs w:val="24"/>
        </w:rPr>
      </w:pPr>
    </w:p>
    <w:sectPr w:rsidR="00B93CE0" w:rsidRPr="00B93CE0">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BA" w:rsidRDefault="00F046BA" w:rsidP="00FC58D8">
      <w:pPr>
        <w:spacing w:after="0"/>
      </w:pPr>
      <w:r>
        <w:separator/>
      </w:r>
    </w:p>
  </w:endnote>
  <w:endnote w:type="continuationSeparator" w:id="0">
    <w:p w:rsidR="00F046BA" w:rsidRDefault="00F046BA" w:rsidP="00FC5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456739"/>
      <w:docPartObj>
        <w:docPartGallery w:val="Page Numbers (Bottom of Page)"/>
        <w:docPartUnique/>
      </w:docPartObj>
    </w:sdtPr>
    <w:sdtEndPr/>
    <w:sdtContent>
      <w:p w:rsidR="00B83524" w:rsidRDefault="00B83524">
        <w:pPr>
          <w:pStyle w:val="a5"/>
          <w:jc w:val="right"/>
        </w:pPr>
        <w:r>
          <w:t>S</w:t>
        </w:r>
        <w:r>
          <w:fldChar w:fldCharType="begin"/>
        </w:r>
        <w:r>
          <w:instrText>PAGE   \* MERGEFORMAT</w:instrText>
        </w:r>
        <w:r>
          <w:fldChar w:fldCharType="separate"/>
        </w:r>
        <w:r w:rsidR="00552010" w:rsidRPr="00552010">
          <w:rPr>
            <w:noProof/>
            <w:lang w:val="ko-KR" w:eastAsia="ko-KR"/>
          </w:rPr>
          <w:t>4</w:t>
        </w:r>
        <w:r>
          <w:fldChar w:fldCharType="end"/>
        </w:r>
      </w:p>
    </w:sdtContent>
  </w:sdt>
  <w:p w:rsidR="00B83524" w:rsidRDefault="00B8352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325055"/>
      <w:docPartObj>
        <w:docPartGallery w:val="Page Numbers (Bottom of Page)"/>
        <w:docPartUnique/>
      </w:docPartObj>
    </w:sdtPr>
    <w:sdtEndPr/>
    <w:sdtContent>
      <w:p w:rsidR="00FC58D8" w:rsidRDefault="00FC58D8">
        <w:pPr>
          <w:pStyle w:val="a5"/>
          <w:jc w:val="right"/>
        </w:pPr>
        <w:r>
          <w:t>S</w:t>
        </w:r>
        <w:r>
          <w:fldChar w:fldCharType="begin"/>
        </w:r>
        <w:r>
          <w:instrText>PAGE   \* MERGEFORMAT</w:instrText>
        </w:r>
        <w:r>
          <w:fldChar w:fldCharType="separate"/>
        </w:r>
        <w:r w:rsidR="00552010" w:rsidRPr="00552010">
          <w:rPr>
            <w:noProof/>
            <w:lang w:val="ko-KR" w:eastAsia="ko-KR"/>
          </w:rPr>
          <w:t>6</w:t>
        </w:r>
        <w:r>
          <w:fldChar w:fldCharType="end"/>
        </w:r>
      </w:p>
    </w:sdtContent>
  </w:sdt>
  <w:p w:rsidR="00FC58D8" w:rsidRDefault="00FC58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BA" w:rsidRDefault="00F046BA" w:rsidP="00FC58D8">
      <w:pPr>
        <w:spacing w:after="0"/>
      </w:pPr>
      <w:r>
        <w:separator/>
      </w:r>
    </w:p>
  </w:footnote>
  <w:footnote w:type="continuationSeparator" w:id="0">
    <w:p w:rsidR="00F046BA" w:rsidRDefault="00F046BA" w:rsidP="00FC58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4605514e-ff0a-4fe9-acb7-99aa2a2bae43"/>
  </w:docVars>
  <w:rsids>
    <w:rsidRoot w:val="00FC58D8"/>
    <w:rsid w:val="00072137"/>
    <w:rsid w:val="001056CD"/>
    <w:rsid w:val="001D5E93"/>
    <w:rsid w:val="00202246"/>
    <w:rsid w:val="00243DFA"/>
    <w:rsid w:val="00351BF7"/>
    <w:rsid w:val="003E3112"/>
    <w:rsid w:val="00432D91"/>
    <w:rsid w:val="005074AB"/>
    <w:rsid w:val="00552010"/>
    <w:rsid w:val="005717B4"/>
    <w:rsid w:val="005945C3"/>
    <w:rsid w:val="006E6D14"/>
    <w:rsid w:val="0079231A"/>
    <w:rsid w:val="0084107C"/>
    <w:rsid w:val="00871454"/>
    <w:rsid w:val="008A6CC4"/>
    <w:rsid w:val="008B0A46"/>
    <w:rsid w:val="009B555D"/>
    <w:rsid w:val="009C7517"/>
    <w:rsid w:val="00B113DC"/>
    <w:rsid w:val="00B83524"/>
    <w:rsid w:val="00B93CE0"/>
    <w:rsid w:val="00BF7F83"/>
    <w:rsid w:val="00C21D57"/>
    <w:rsid w:val="00C2532D"/>
    <w:rsid w:val="00CB3CB8"/>
    <w:rsid w:val="00CD7A19"/>
    <w:rsid w:val="00E167E3"/>
    <w:rsid w:val="00E952AC"/>
    <w:rsid w:val="00F046BA"/>
    <w:rsid w:val="00F3473B"/>
    <w:rsid w:val="00F36170"/>
    <w:rsid w:val="00F44564"/>
    <w:rsid w:val="00FC5388"/>
    <w:rsid w:val="00FC58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B36C6"/>
  <w15:chartTrackingRefBased/>
  <w15:docId w15:val="{AF579CDB-B66E-4414-ADB0-7356B6CF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D8"/>
    <w:pPr>
      <w:spacing w:after="200" w:line="240" w:lineRule="auto"/>
    </w:pPr>
    <w:rPr>
      <w:rFonts w:ascii="Times" w:hAnsi="Times"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58D8"/>
    <w:pPr>
      <w:spacing w:after="0"/>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C58D8"/>
    <w:rPr>
      <w:rFonts w:asciiTheme="majorHAnsi" w:eastAsiaTheme="majorEastAsia" w:hAnsiTheme="majorHAnsi" w:cstheme="majorBidi"/>
      <w:kern w:val="0"/>
      <w:sz w:val="18"/>
      <w:szCs w:val="18"/>
      <w:lang w:eastAsia="en-US"/>
    </w:rPr>
  </w:style>
  <w:style w:type="paragraph" w:styleId="a4">
    <w:name w:val="header"/>
    <w:basedOn w:val="a"/>
    <w:link w:val="Char0"/>
    <w:uiPriority w:val="99"/>
    <w:unhideWhenUsed/>
    <w:rsid w:val="00FC58D8"/>
    <w:pPr>
      <w:tabs>
        <w:tab w:val="center" w:pos="4513"/>
        <w:tab w:val="right" w:pos="9026"/>
      </w:tabs>
      <w:snapToGrid w:val="0"/>
    </w:pPr>
  </w:style>
  <w:style w:type="character" w:customStyle="1" w:styleId="Char0">
    <w:name w:val="머리글 Char"/>
    <w:basedOn w:val="a0"/>
    <w:link w:val="a4"/>
    <w:uiPriority w:val="99"/>
    <w:rsid w:val="00FC58D8"/>
    <w:rPr>
      <w:rFonts w:ascii="Times" w:hAnsi="Times" w:cs="Times New Roman"/>
      <w:kern w:val="0"/>
      <w:sz w:val="24"/>
      <w:szCs w:val="20"/>
      <w:lang w:eastAsia="en-US"/>
    </w:rPr>
  </w:style>
  <w:style w:type="paragraph" w:styleId="a5">
    <w:name w:val="footer"/>
    <w:basedOn w:val="a"/>
    <w:link w:val="Char1"/>
    <w:uiPriority w:val="99"/>
    <w:unhideWhenUsed/>
    <w:rsid w:val="00FC58D8"/>
    <w:pPr>
      <w:tabs>
        <w:tab w:val="center" w:pos="4513"/>
        <w:tab w:val="right" w:pos="9026"/>
      </w:tabs>
      <w:snapToGrid w:val="0"/>
    </w:pPr>
  </w:style>
  <w:style w:type="character" w:customStyle="1" w:styleId="Char1">
    <w:name w:val="바닥글 Char"/>
    <w:basedOn w:val="a0"/>
    <w:link w:val="a5"/>
    <w:uiPriority w:val="99"/>
    <w:rsid w:val="00FC58D8"/>
    <w:rPr>
      <w:rFonts w:ascii="Times" w:hAnsi="Times" w:cs="Times New Roman"/>
      <w:kern w:val="0"/>
      <w:sz w:val="24"/>
      <w:szCs w:val="20"/>
      <w:lang w:eastAsia="en-US"/>
    </w:rPr>
  </w:style>
  <w:style w:type="paragraph" w:customStyle="1" w:styleId="Maintext">
    <w:name w:val="Main text"/>
    <w:basedOn w:val="a"/>
    <w:link w:val="MaintextChar"/>
    <w:autoRedefine/>
    <w:rsid w:val="00B83524"/>
    <w:pPr>
      <w:spacing w:after="0" w:line="480" w:lineRule="auto"/>
      <w:jc w:val="left"/>
    </w:pPr>
    <w:rPr>
      <w:rFonts w:ascii="Times New Roman" w:hAnsi="Times New Roman"/>
      <w:b/>
      <w:bCs/>
      <w:color w:val="000000" w:themeColor="text1"/>
      <w:szCs w:val="24"/>
      <w:lang w:eastAsia="ko-KR"/>
    </w:rPr>
  </w:style>
  <w:style w:type="character" w:customStyle="1" w:styleId="MaintextChar">
    <w:name w:val="Main text Char"/>
    <w:link w:val="Maintext"/>
    <w:rsid w:val="00B83524"/>
    <w:rPr>
      <w:rFonts w:ascii="Times New Roman" w:hAnsi="Times New Roman" w:cs="Times New Roman"/>
      <w:b/>
      <w:bCs/>
      <w:color w:val="000000" w:themeColor="text1"/>
      <w:kern w:val="0"/>
      <w:sz w:val="24"/>
      <w:szCs w:val="24"/>
    </w:rPr>
  </w:style>
  <w:style w:type="table" w:styleId="a6">
    <w:name w:val="Table Grid"/>
    <w:basedOn w:val="a1"/>
    <w:uiPriority w:val="39"/>
    <w:rsid w:val="00B83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a"/>
    <w:rsid w:val="00B83524"/>
    <w:pPr>
      <w:spacing w:after="0"/>
      <w:jc w:val="left"/>
    </w:pPr>
    <w:rPr>
      <w:rFonts w:ascii="Times New Roman" w:eastAsia="MS Mincho" w:hAnsi="Times New Roman"/>
      <w:szCs w:val="24"/>
      <w:lang w:eastAsia="ja-JP"/>
    </w:rPr>
  </w:style>
  <w:style w:type="paragraph" w:styleId="a7">
    <w:name w:val="Normal (Web)"/>
    <w:basedOn w:val="a"/>
    <w:uiPriority w:val="99"/>
    <w:semiHidden/>
    <w:unhideWhenUsed/>
    <w:rsid w:val="009C7517"/>
    <w:pPr>
      <w:spacing w:before="100" w:beforeAutospacing="1" w:after="100" w:afterAutospacing="1"/>
      <w:jc w:val="left"/>
    </w:pPr>
    <w:rPr>
      <w:rFonts w:ascii="굴림" w:eastAsia="굴림" w:hAnsi="굴림" w:cs="굴림"/>
      <w:szCs w:val="24"/>
      <w:lang w:eastAsia="ko-KR"/>
    </w:rPr>
  </w:style>
  <w:style w:type="character" w:customStyle="1" w:styleId="fontstyle01">
    <w:name w:val="fontstyle01"/>
    <w:basedOn w:val="a0"/>
    <w:rsid w:val="00B93CE0"/>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B93CE0"/>
    <w:rPr>
      <w:rFonts w:ascii="맑" w:eastAsia="맑"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7103">
      <w:bodyDiv w:val="1"/>
      <w:marLeft w:val="0"/>
      <w:marRight w:val="0"/>
      <w:marTop w:val="0"/>
      <w:marBottom w:val="0"/>
      <w:divBdr>
        <w:top w:val="none" w:sz="0" w:space="0" w:color="auto"/>
        <w:left w:val="none" w:sz="0" w:space="0" w:color="auto"/>
        <w:bottom w:val="none" w:sz="0" w:space="0" w:color="auto"/>
        <w:right w:val="none" w:sz="0" w:space="0" w:color="auto"/>
      </w:divBdr>
    </w:div>
    <w:div w:id="997810004">
      <w:bodyDiv w:val="1"/>
      <w:marLeft w:val="0"/>
      <w:marRight w:val="0"/>
      <w:marTop w:val="0"/>
      <w:marBottom w:val="0"/>
      <w:divBdr>
        <w:top w:val="none" w:sz="0" w:space="0" w:color="auto"/>
        <w:left w:val="none" w:sz="0" w:space="0" w:color="auto"/>
        <w:bottom w:val="none" w:sz="0" w:space="0" w:color="auto"/>
        <w:right w:val="none" w:sz="0" w:space="0" w:color="auto"/>
      </w:divBdr>
    </w:div>
    <w:div w:id="1016620661">
      <w:bodyDiv w:val="1"/>
      <w:marLeft w:val="0"/>
      <w:marRight w:val="0"/>
      <w:marTop w:val="0"/>
      <w:marBottom w:val="0"/>
      <w:divBdr>
        <w:top w:val="none" w:sz="0" w:space="0" w:color="auto"/>
        <w:left w:val="none" w:sz="0" w:space="0" w:color="auto"/>
        <w:bottom w:val="none" w:sz="0" w:space="0" w:color="auto"/>
        <w:right w:val="none" w:sz="0" w:space="0" w:color="auto"/>
      </w:divBdr>
    </w:div>
    <w:div w:id="1947424248">
      <w:bodyDiv w:val="1"/>
      <w:marLeft w:val="0"/>
      <w:marRight w:val="0"/>
      <w:marTop w:val="0"/>
      <w:marBottom w:val="0"/>
      <w:divBdr>
        <w:top w:val="none" w:sz="0" w:space="0" w:color="auto"/>
        <w:left w:val="none" w:sz="0" w:space="0" w:color="auto"/>
        <w:bottom w:val="none" w:sz="0" w:space="0" w:color="auto"/>
        <w:right w:val="none" w:sz="0" w:space="0" w:color="auto"/>
      </w:divBdr>
    </w:div>
    <w:div w:id="20109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46B4-EDA6-40FE-8E0E-0F1CF596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5407</TotalTime>
  <Pages>6</Pages>
  <Words>607</Words>
  <Characters>3465</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NMDL-SC</dc:creator>
  <cp:keywords/>
  <dc:description/>
  <cp:lastModifiedBy>NMDL1</cp:lastModifiedBy>
  <cp:revision>8</cp:revision>
  <dcterms:created xsi:type="dcterms:W3CDTF">2020-12-17T06:05:00Z</dcterms:created>
  <dcterms:modified xsi:type="dcterms:W3CDTF">2021-05-14T04:24:00Z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http://www.zotero.org/styles/renewable-energy</vt:lpwstr>
  </property>
  <property fmtid="{D5CDD505-2E9C-101B-9397-08002B2CF9AE}" pid="17" name="Mendeley Recent Style Name 7_1">
    <vt:lpwstr>Renewable Energy</vt:lpwstr>
  </property>
  <property fmtid="{D5CDD505-2E9C-101B-9397-08002B2CF9AE}" pid="18" name="Mendeley Recent Style Id 8_1">
    <vt:lpwstr>http://www.zotero.org/styles/scientific-reports</vt:lpwstr>
  </property>
  <property fmtid="{D5CDD505-2E9C-101B-9397-08002B2CF9AE}" pid="19" name="Mendeley Recent Style Name 8_1">
    <vt:lpwstr>Scientific Reports</vt:lpwstr>
  </property>
  <property fmtid="{D5CDD505-2E9C-101B-9397-08002B2CF9AE}" pid="20" name="Mendeley Recent Style Id 9_1">
    <vt:lpwstr>http://www.zotero.org/styles/solar-energy-materials-and-solar-cells</vt:lpwstr>
  </property>
  <property fmtid="{D5CDD505-2E9C-101B-9397-08002B2CF9AE}" pid="21" name="Mendeley Recent Style Name 9_1">
    <vt:lpwstr>Solar Energy Materials and Solar Cells</vt:lpwstr>
  </property>
  <property fmtid="{D5CDD505-2E9C-101B-9397-08002B2CF9AE}" pid="22" name="Mendeley Document_1">
    <vt:lpwstr>True</vt:lpwstr>
  </property>
  <property fmtid="{D5CDD505-2E9C-101B-9397-08002B2CF9AE}" pid="23" name="Mendeley Unique User Id_1">
    <vt:lpwstr>6f81030e-c09d-3e53-8fa7-5b17afb73da0</vt:lpwstr>
  </property>
  <property fmtid="{D5CDD505-2E9C-101B-9397-08002B2CF9AE}" pid="24" name="Mendeley Citation Style_1">
    <vt:lpwstr>http://www.zotero.org/styles/scientific-reports</vt:lpwstr>
  </property>
</Properties>
</file>