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1316E" w14:textId="4A4E36F0" w:rsidR="009524EA" w:rsidRPr="00630ED8" w:rsidRDefault="00D67670" w:rsidP="00F22F63">
      <w:pPr>
        <w:rPr>
          <w:rFonts w:ascii="Times New Roman" w:hAnsi="Times New Roman" w:cs="Times New Roman"/>
          <w:sz w:val="24"/>
          <w:szCs w:val="24"/>
        </w:rPr>
      </w:pPr>
      <w:r w:rsidRPr="00630ED8">
        <w:rPr>
          <w:rFonts w:ascii="Times New Roman" w:hAnsi="Times New Roman" w:cs="Times New Roman"/>
          <w:sz w:val="24"/>
          <w:szCs w:val="24"/>
        </w:rPr>
        <w:t>Table S</w:t>
      </w:r>
      <w:r w:rsidR="00786E3A">
        <w:rPr>
          <w:rFonts w:ascii="Times New Roman" w:hAnsi="Times New Roman" w:cs="Times New Roman" w:hint="eastAsia"/>
          <w:sz w:val="24"/>
          <w:szCs w:val="24"/>
        </w:rPr>
        <w:t>3</w:t>
      </w:r>
      <w:r w:rsidR="00630ED8" w:rsidRPr="00630ED8">
        <w:rPr>
          <w:rFonts w:ascii="Times New Roman" w:hAnsi="Times New Roman" w:cs="Times New Roman"/>
          <w:sz w:val="24"/>
          <w:szCs w:val="24"/>
        </w:rPr>
        <w:br/>
      </w:r>
      <w:r w:rsidR="00171C7D" w:rsidRPr="00171C7D">
        <w:rPr>
          <w:rFonts w:ascii="Times New Roman" w:hAnsi="Times New Roman" w:cs="Times New Roman"/>
          <w:sz w:val="24"/>
          <w:szCs w:val="24"/>
        </w:rPr>
        <w:t xml:space="preserve">References of </w:t>
      </w:r>
      <w:r w:rsidR="005C30B4">
        <w:rPr>
          <w:rFonts w:ascii="Times New Roman" w:hAnsi="Times New Roman" w:cs="Times New Roman" w:hint="eastAsia"/>
          <w:sz w:val="24"/>
          <w:szCs w:val="24"/>
        </w:rPr>
        <w:t>9</w:t>
      </w:r>
      <w:r w:rsidR="00171C7D" w:rsidRPr="00171C7D">
        <w:rPr>
          <w:rFonts w:ascii="Times New Roman" w:hAnsi="Times New Roman" w:cs="Times New Roman"/>
          <w:sz w:val="24"/>
          <w:szCs w:val="24"/>
        </w:rPr>
        <w:t xml:space="preserve"> included guidelines.</w:t>
      </w:r>
    </w:p>
    <w:tbl>
      <w:tblPr>
        <w:tblStyle w:val="TableNormal"/>
        <w:tblW w:w="0" w:type="auto"/>
        <w:jc w:val="center"/>
        <w:tblBorders>
          <w:top w:val="single" w:sz="4" w:space="0" w:color="auto"/>
          <w:bottom w:val="single" w:sz="4" w:space="0" w:color="auto"/>
        </w:tblBorders>
        <w:tblLook w:val="01E0" w:firstRow="1" w:lastRow="1" w:firstColumn="1" w:lastColumn="1" w:noHBand="0" w:noVBand="0"/>
      </w:tblPr>
      <w:tblGrid>
        <w:gridCol w:w="1560"/>
        <w:gridCol w:w="7800"/>
      </w:tblGrid>
      <w:tr w:rsidR="00171C7D" w:rsidRPr="00630ED8" w14:paraId="000D5FBA" w14:textId="77777777" w:rsidTr="009229AB">
        <w:trPr>
          <w:jc w:val="center"/>
        </w:trPr>
        <w:tc>
          <w:tcPr>
            <w:tcW w:w="1560" w:type="dxa"/>
            <w:tcBorders>
              <w:top w:val="single" w:sz="8" w:space="0" w:color="auto"/>
              <w:bottom w:val="single" w:sz="8" w:space="0" w:color="auto"/>
            </w:tcBorders>
          </w:tcPr>
          <w:p w14:paraId="39B25218" w14:textId="2730A848" w:rsidR="00171C7D" w:rsidRDefault="00F22F63" w:rsidP="00F22F63">
            <w:pPr>
              <w:jc w:val="center"/>
              <w:rPr>
                <w:rFonts w:ascii="Times New Roman" w:eastAsia="Times New Roman" w:hAnsi="Times New Roman" w:cs="Times New Roman"/>
                <w:sz w:val="24"/>
                <w:szCs w:val="24"/>
                <w:lang w:bidi="en-US"/>
              </w:rPr>
            </w:pPr>
            <w:r w:rsidRPr="00F22F63">
              <w:rPr>
                <w:rFonts w:ascii="Times New Roman" w:hAnsi="Times New Roman" w:cs="Times New Roman"/>
                <w:sz w:val="24"/>
                <w:szCs w:val="24"/>
              </w:rPr>
              <w:t>Guidelines</w:t>
            </w:r>
            <w:r>
              <w:rPr>
                <w:rFonts w:ascii="Times New Roman" w:hAnsi="Times New Roman" w:cs="Times New Roman" w:hint="eastAsia"/>
                <w:sz w:val="24"/>
                <w:szCs w:val="24"/>
              </w:rPr>
              <w:t xml:space="preserve"> </w:t>
            </w:r>
            <w:r w:rsidRPr="00F22F63">
              <w:rPr>
                <w:rFonts w:ascii="Times New Roman" w:hAnsi="Times New Roman" w:cs="Times New Roman"/>
                <w:sz w:val="24"/>
                <w:szCs w:val="24"/>
              </w:rPr>
              <w:t>identifier, Year</w:t>
            </w:r>
          </w:p>
        </w:tc>
        <w:tc>
          <w:tcPr>
            <w:tcW w:w="7800" w:type="dxa"/>
            <w:tcBorders>
              <w:top w:val="single" w:sz="8" w:space="0" w:color="auto"/>
              <w:bottom w:val="single" w:sz="8" w:space="0" w:color="auto"/>
            </w:tcBorders>
          </w:tcPr>
          <w:p w14:paraId="09042BB4" w14:textId="6B428F0F" w:rsidR="00171C7D" w:rsidRPr="00171C7D" w:rsidRDefault="00F22F63" w:rsidP="00F22F63">
            <w:pPr>
              <w:spacing w:line="480" w:lineRule="auto"/>
              <w:jc w:val="center"/>
              <w:rPr>
                <w:rFonts w:ascii="Times New Roman" w:eastAsia="Times New Roman" w:hAnsi="Times New Roman" w:cs="Times New Roman"/>
                <w:sz w:val="24"/>
                <w:szCs w:val="24"/>
                <w:lang w:bidi="en-US"/>
              </w:rPr>
            </w:pPr>
            <w:r w:rsidRPr="00171C7D">
              <w:rPr>
                <w:rFonts w:ascii="Times New Roman" w:hAnsi="Times New Roman" w:cs="Times New Roman"/>
                <w:sz w:val="24"/>
                <w:szCs w:val="24"/>
              </w:rPr>
              <w:t>References</w:t>
            </w:r>
          </w:p>
        </w:tc>
      </w:tr>
      <w:tr w:rsidR="00630ED8" w:rsidRPr="00630ED8" w14:paraId="09905634" w14:textId="77777777" w:rsidTr="009229AB">
        <w:trPr>
          <w:jc w:val="center"/>
        </w:trPr>
        <w:tc>
          <w:tcPr>
            <w:tcW w:w="1560" w:type="dxa"/>
            <w:tcBorders>
              <w:top w:val="single" w:sz="8" w:space="0" w:color="auto"/>
              <w:bottom w:val="nil"/>
            </w:tcBorders>
          </w:tcPr>
          <w:p w14:paraId="60B9792E" w14:textId="353364FB" w:rsidR="00630ED8" w:rsidRPr="00630ED8" w:rsidRDefault="00171C7D" w:rsidP="00F22F63">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NHAM 2017</w:t>
            </w:r>
          </w:p>
        </w:tc>
        <w:tc>
          <w:tcPr>
            <w:tcW w:w="7800" w:type="dxa"/>
            <w:tcBorders>
              <w:top w:val="single" w:sz="8" w:space="0" w:color="auto"/>
              <w:bottom w:val="nil"/>
            </w:tcBorders>
          </w:tcPr>
          <w:p w14:paraId="466AC83B" w14:textId="6114262E" w:rsidR="00630ED8" w:rsidRPr="00630ED8" w:rsidRDefault="00171C7D" w:rsidP="00630ED8">
            <w:pPr>
              <w:jc w:val="left"/>
              <w:rPr>
                <w:rFonts w:ascii="Times New Roman" w:eastAsia="Times New Roman" w:hAnsi="Times New Roman" w:cs="Times New Roman"/>
                <w:sz w:val="24"/>
                <w:szCs w:val="24"/>
                <w:lang w:bidi="en-US"/>
              </w:rPr>
            </w:pPr>
            <w:r w:rsidRPr="00171C7D">
              <w:rPr>
                <w:rFonts w:ascii="Times New Roman" w:eastAsia="Times New Roman" w:hAnsi="Times New Roman" w:cs="Times New Roman"/>
                <w:sz w:val="24"/>
                <w:szCs w:val="24"/>
                <w:lang w:bidi="en-US"/>
              </w:rPr>
              <w:t>National Heart Association of Malaysia, Academy of Medicine Malaysia. Clinical practice guidelines for the prevention, diagnosis &amp; management of infective endocarditis. Putrajaya: Clinical Practice Guidelines (CPG) Secretariat; 2016.</w:t>
            </w:r>
          </w:p>
        </w:tc>
      </w:tr>
      <w:tr w:rsidR="00630ED8" w:rsidRPr="00630ED8" w14:paraId="2136D1A8" w14:textId="77777777" w:rsidTr="00F22F63">
        <w:trPr>
          <w:jc w:val="center"/>
        </w:trPr>
        <w:tc>
          <w:tcPr>
            <w:tcW w:w="1560" w:type="dxa"/>
            <w:tcBorders>
              <w:top w:val="nil"/>
            </w:tcBorders>
          </w:tcPr>
          <w:p w14:paraId="0147C968" w14:textId="7377D343" w:rsidR="00630ED8" w:rsidRPr="00630ED8" w:rsidRDefault="00171C7D" w:rsidP="00F22F63">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AHA 2015</w:t>
            </w:r>
          </w:p>
        </w:tc>
        <w:tc>
          <w:tcPr>
            <w:tcW w:w="7800" w:type="dxa"/>
            <w:tcBorders>
              <w:top w:val="nil"/>
            </w:tcBorders>
          </w:tcPr>
          <w:p w14:paraId="3A065D51" w14:textId="49AF8C2A" w:rsidR="00630ED8" w:rsidRPr="00630ED8" w:rsidRDefault="00171C7D" w:rsidP="00630ED8">
            <w:pPr>
              <w:jc w:val="left"/>
              <w:rPr>
                <w:rFonts w:ascii="Times New Roman" w:eastAsia="Times New Roman" w:hAnsi="Times New Roman" w:cs="Times New Roman"/>
                <w:sz w:val="24"/>
                <w:szCs w:val="24"/>
                <w:lang w:bidi="en-US"/>
              </w:rPr>
            </w:pPr>
            <w:r w:rsidRPr="00171C7D">
              <w:rPr>
                <w:rFonts w:ascii="Times New Roman" w:eastAsia="Times New Roman" w:hAnsi="Times New Roman" w:cs="Times New Roman"/>
                <w:sz w:val="24"/>
                <w:szCs w:val="24"/>
                <w:lang w:bidi="en-US"/>
              </w:rPr>
              <w:t>Baddour LM, Wilson WR, Bayer AS, Fowler VG, Jr., Tleyjeh IM, Rybak MJ, Barsic B, Lockhart PB, Gewitz MH, Levison ME, Bolger AF, Steckelberg JM, Baltimore RS, Fink AM, O'Gara P, Taubert KA. Infective endocarditis in adults: Diagnosis, antimicrobial therapy, and management of complications: A scientific statement for healthcare professionals from the American Heart Association. Circulation 2015;132(15):1435-1486.</w:t>
            </w:r>
          </w:p>
        </w:tc>
      </w:tr>
      <w:tr w:rsidR="00630ED8" w:rsidRPr="00630ED8" w14:paraId="3E952305" w14:textId="77777777" w:rsidTr="00F22F63">
        <w:trPr>
          <w:jc w:val="center"/>
        </w:trPr>
        <w:tc>
          <w:tcPr>
            <w:tcW w:w="1560" w:type="dxa"/>
          </w:tcPr>
          <w:p w14:paraId="4F15E82E" w14:textId="7A5B3660" w:rsidR="00630ED8" w:rsidRPr="00630ED8" w:rsidRDefault="00171C7D" w:rsidP="00F22F63">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ESC 2015</w:t>
            </w:r>
          </w:p>
        </w:tc>
        <w:tc>
          <w:tcPr>
            <w:tcW w:w="7800" w:type="dxa"/>
          </w:tcPr>
          <w:p w14:paraId="167917DC" w14:textId="206F6505" w:rsidR="00630ED8" w:rsidRPr="00630ED8" w:rsidRDefault="00171C7D" w:rsidP="00630ED8">
            <w:pPr>
              <w:jc w:val="left"/>
              <w:rPr>
                <w:rFonts w:ascii="Times New Roman" w:eastAsia="Times New Roman" w:hAnsi="Times New Roman" w:cs="Times New Roman"/>
                <w:sz w:val="24"/>
                <w:szCs w:val="24"/>
                <w:lang w:bidi="en-US"/>
              </w:rPr>
            </w:pPr>
            <w:r w:rsidRPr="00171C7D">
              <w:rPr>
                <w:rFonts w:ascii="Times New Roman" w:eastAsia="Times New Roman" w:hAnsi="Times New Roman" w:cs="Times New Roman"/>
                <w:sz w:val="24"/>
                <w:szCs w:val="24"/>
                <w:lang w:bidi="en-US"/>
              </w:rPr>
              <w:t>Habib G, Lancellotti P, Antunes MJ, Bongiorni MG, Casalta JP, Del Zotti F, Dulgheru R, El Khoury G, Erba PA, Iung B, Miro JM, Mulder BJ, Plonska-Gosciniak E, Price S, Roos-Hesselink J, Snygg-Martin U, Thuny F, Tornos Mas P, Vilacosta I, Zamorano JL.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Eur Heart J 2015;36(44):3075-3128.</w:t>
            </w:r>
          </w:p>
        </w:tc>
      </w:tr>
      <w:tr w:rsidR="00630ED8" w:rsidRPr="00630ED8" w14:paraId="7607B91F" w14:textId="77777777" w:rsidTr="00F22F63">
        <w:trPr>
          <w:jc w:val="center"/>
        </w:trPr>
        <w:tc>
          <w:tcPr>
            <w:tcW w:w="1560" w:type="dxa"/>
          </w:tcPr>
          <w:p w14:paraId="7A6D5752" w14:textId="114B4E9C" w:rsidR="00630ED8" w:rsidRPr="00630ED8" w:rsidRDefault="00171C7D" w:rsidP="00F22F63">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BSAC/BHRS 2014</w:t>
            </w:r>
          </w:p>
        </w:tc>
        <w:tc>
          <w:tcPr>
            <w:tcW w:w="7800" w:type="dxa"/>
          </w:tcPr>
          <w:p w14:paraId="4FBBE331" w14:textId="1901901F" w:rsidR="00630ED8" w:rsidRPr="00630ED8" w:rsidRDefault="00171C7D" w:rsidP="00630ED8">
            <w:pPr>
              <w:jc w:val="left"/>
              <w:rPr>
                <w:rFonts w:ascii="Times New Roman" w:eastAsia="Times New Roman" w:hAnsi="Times New Roman" w:cs="Times New Roman"/>
                <w:sz w:val="24"/>
                <w:szCs w:val="24"/>
                <w:lang w:bidi="en-US"/>
              </w:rPr>
            </w:pPr>
            <w:r w:rsidRPr="00171C7D">
              <w:rPr>
                <w:rFonts w:ascii="Times New Roman" w:eastAsia="Times New Roman" w:hAnsi="Times New Roman" w:cs="Times New Roman"/>
                <w:sz w:val="24"/>
                <w:szCs w:val="24"/>
                <w:lang w:bidi="en-US"/>
              </w:rPr>
              <w:t>Sandoe JA, Barlow G, Chambers JB, Gammage M, Guleri A, Howard P, Olson E, Perry JD, Prendergast BD, Spry MJ, Steeds RP, Tayebjee MH, Watkin R. Guidelines for the diagnosis, prevention and management of implantable cardiac electronic device infection. Report of a joint Working Party project on behalf of the British Society for Antimicrobial Chemotherapy (BSAC, host organization), British Heart Rhythm Society (BHRS), British Cardiovascular Society (BCS), British Heart Valve Society (BHVS) and British Society for Echocardiography (BSE). J Antimicrob Chemother 2015;70(2):325-359.</w:t>
            </w:r>
          </w:p>
        </w:tc>
      </w:tr>
      <w:tr w:rsidR="00630ED8" w:rsidRPr="00630ED8" w14:paraId="24DA5328" w14:textId="77777777" w:rsidTr="00F22F63">
        <w:trPr>
          <w:jc w:val="center"/>
        </w:trPr>
        <w:tc>
          <w:tcPr>
            <w:tcW w:w="1560" w:type="dxa"/>
          </w:tcPr>
          <w:p w14:paraId="2155D0CD" w14:textId="233DA02C" w:rsidR="00630ED8" w:rsidRPr="00630ED8" w:rsidRDefault="00171C7D" w:rsidP="00F22F63">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JCS 2017</w:t>
            </w:r>
          </w:p>
        </w:tc>
        <w:tc>
          <w:tcPr>
            <w:tcW w:w="7800" w:type="dxa"/>
          </w:tcPr>
          <w:p w14:paraId="743809BB" w14:textId="3347A76D" w:rsidR="00630ED8" w:rsidRPr="00630ED8" w:rsidRDefault="00171C7D" w:rsidP="00630ED8">
            <w:pPr>
              <w:jc w:val="left"/>
              <w:rPr>
                <w:rFonts w:ascii="Times New Roman" w:eastAsia="Times New Roman" w:hAnsi="Times New Roman" w:cs="Times New Roman"/>
                <w:sz w:val="24"/>
                <w:szCs w:val="24"/>
                <w:lang w:bidi="en-US"/>
              </w:rPr>
            </w:pPr>
            <w:r w:rsidRPr="00171C7D">
              <w:rPr>
                <w:rFonts w:ascii="Times New Roman" w:eastAsia="Times New Roman" w:hAnsi="Times New Roman" w:cs="Times New Roman"/>
                <w:sz w:val="24"/>
                <w:szCs w:val="24"/>
                <w:lang w:bidi="en-US"/>
              </w:rPr>
              <w:t>Nakatani S, Ohara T, Ashihara K, Izumi C, Iwanaga S, Eishi K, Okita Y, Daimon M, Kimura T, Toyoda K, Nakase H, Nakano K, Higashi M, Mitsutake K, Murakami T, Yasukochi S, Okazaki S, Sakamoto H, Tanaka H, Nakagawa I, Nomura R, Fujiu K, Miura T, Morizane T. JCS 2017 guideline on prevention and treatment of infective endocarditis. Circ J 2019;83(8):1767-1809.</w:t>
            </w:r>
          </w:p>
        </w:tc>
      </w:tr>
      <w:tr w:rsidR="00630ED8" w:rsidRPr="00630ED8" w14:paraId="686F64C2" w14:textId="77777777" w:rsidTr="00F22F63">
        <w:trPr>
          <w:jc w:val="center"/>
        </w:trPr>
        <w:tc>
          <w:tcPr>
            <w:tcW w:w="1560" w:type="dxa"/>
          </w:tcPr>
          <w:p w14:paraId="66B4E1B2" w14:textId="4E44A92F" w:rsidR="00630ED8" w:rsidRPr="00630ED8" w:rsidRDefault="00171C7D" w:rsidP="00F22F63">
            <w:pPr>
              <w:jc w:val="center"/>
              <w:rPr>
                <w:rFonts w:ascii="Times New Roman" w:eastAsia="Times New Roman" w:hAnsi="Times New Roman" w:cs="Times New Roman"/>
                <w:sz w:val="24"/>
                <w:szCs w:val="24"/>
                <w:lang w:bidi="en-US"/>
              </w:rPr>
            </w:pPr>
            <w:r>
              <w:rPr>
                <w:rFonts w:ascii="Times New Roman" w:hAnsi="Times New Roman" w:cs="Times New Roman"/>
                <w:sz w:val="24"/>
                <w:szCs w:val="24"/>
                <w:lang w:eastAsia="zh-CN" w:bidi="en-US"/>
              </w:rPr>
              <w:t>BSAC 2011</w:t>
            </w:r>
          </w:p>
        </w:tc>
        <w:tc>
          <w:tcPr>
            <w:tcW w:w="7800" w:type="dxa"/>
          </w:tcPr>
          <w:p w14:paraId="44436466" w14:textId="7E62CAD5" w:rsidR="00630ED8" w:rsidRPr="00630ED8" w:rsidRDefault="00171C7D" w:rsidP="00630ED8">
            <w:pPr>
              <w:jc w:val="left"/>
              <w:rPr>
                <w:rFonts w:ascii="Times New Roman" w:eastAsia="Times New Roman" w:hAnsi="Times New Roman" w:cs="Times New Roman"/>
                <w:sz w:val="24"/>
                <w:szCs w:val="24"/>
                <w:lang w:bidi="en-US"/>
              </w:rPr>
            </w:pPr>
            <w:r w:rsidRPr="00171C7D">
              <w:rPr>
                <w:rFonts w:ascii="Times New Roman" w:eastAsia="Times New Roman" w:hAnsi="Times New Roman" w:cs="Times New Roman"/>
                <w:sz w:val="24"/>
                <w:szCs w:val="24"/>
                <w:lang w:bidi="en-US"/>
              </w:rPr>
              <w:t>Gould FK, Denning DW, Elliott TS, Foweraker J, Perry JD, Prendergast BD, Sandoe JA, Spry MJ, Watkin RW, Working Party of the British Society for Antimicrobial C. Guidelines for the diagnosis and antibiotic treatment of endocarditis in adults: a report of the Working Party of the British Society for Antimicrobial Chemotherapy. J Antimicrob Chemother 2012;67(2):269-289.</w:t>
            </w:r>
          </w:p>
        </w:tc>
      </w:tr>
      <w:tr w:rsidR="00630ED8" w:rsidRPr="00630ED8" w14:paraId="11D8A502" w14:textId="77777777" w:rsidTr="00F22F63">
        <w:trPr>
          <w:jc w:val="center"/>
        </w:trPr>
        <w:tc>
          <w:tcPr>
            <w:tcW w:w="1560" w:type="dxa"/>
          </w:tcPr>
          <w:p w14:paraId="1479602A" w14:textId="6B2DF97B" w:rsidR="00630ED8" w:rsidRPr="00630ED8" w:rsidRDefault="00171C7D" w:rsidP="00F22F63">
            <w:pPr>
              <w:jc w:val="center"/>
              <w:rPr>
                <w:rFonts w:ascii="Times New Roman" w:eastAsia="Times New Roman" w:hAnsi="Times New Roman" w:cs="Times New Roman"/>
                <w:sz w:val="24"/>
                <w:szCs w:val="24"/>
                <w:lang w:bidi="en-US"/>
              </w:rPr>
            </w:pPr>
            <w:r w:rsidRPr="0066206D">
              <w:rPr>
                <w:rFonts w:ascii="Times New Roman" w:hAnsi="Times New Roman" w:cs="Times New Roman"/>
                <w:sz w:val="24"/>
                <w:szCs w:val="24"/>
              </w:rPr>
              <w:t>SEIMC 2015</w:t>
            </w:r>
          </w:p>
        </w:tc>
        <w:tc>
          <w:tcPr>
            <w:tcW w:w="7800" w:type="dxa"/>
          </w:tcPr>
          <w:p w14:paraId="0F6ADE23" w14:textId="615EBA2D" w:rsidR="00630ED8" w:rsidRPr="00630ED8" w:rsidRDefault="00171C7D" w:rsidP="00630ED8">
            <w:pPr>
              <w:jc w:val="left"/>
              <w:rPr>
                <w:rFonts w:ascii="Times New Roman" w:eastAsia="Times New Roman" w:hAnsi="Times New Roman" w:cs="Times New Roman"/>
                <w:sz w:val="24"/>
                <w:szCs w:val="24"/>
                <w:lang w:bidi="en-US"/>
              </w:rPr>
            </w:pPr>
            <w:r w:rsidRPr="00171C7D">
              <w:rPr>
                <w:rFonts w:ascii="Times New Roman" w:eastAsia="Times New Roman" w:hAnsi="Times New Roman" w:cs="Times New Roman"/>
                <w:sz w:val="24"/>
                <w:szCs w:val="24"/>
                <w:lang w:bidi="en-US"/>
              </w:rPr>
              <w:t xml:space="preserve">Gudiol F, Aguado JM, Almirante B, Bouza E, Cercenado E, Dominguez MA, </w:t>
            </w:r>
            <w:r w:rsidRPr="00171C7D">
              <w:rPr>
                <w:rFonts w:ascii="Times New Roman" w:eastAsia="Times New Roman" w:hAnsi="Times New Roman" w:cs="Times New Roman"/>
                <w:sz w:val="24"/>
                <w:szCs w:val="24"/>
                <w:lang w:bidi="en-US"/>
              </w:rPr>
              <w:lastRenderedPageBreak/>
              <w:t>Gasch O, Lora-Tamayo J, Miro JM, Palomar M, Pascual A, Pericas JM, Pujol M, Rodriguez-Bano J, Shaw E, Soriano A, Valles J. Diagnosis and treatment of bacteremia and endocarditis due to Staphylococcus aureus. A clinical guideline from the Spanish Society of Clinical Microbiology and Infectious Diseases (SEIMC). Enferm Infecc Microbiol Clin 2015;33(9</w:t>
            </w:r>
            <w:proofErr w:type="gramStart"/>
            <w:r w:rsidRPr="00171C7D">
              <w:rPr>
                <w:rFonts w:ascii="Times New Roman" w:eastAsia="Times New Roman" w:hAnsi="Times New Roman" w:cs="Times New Roman"/>
                <w:sz w:val="24"/>
                <w:szCs w:val="24"/>
                <w:lang w:bidi="en-US"/>
              </w:rPr>
              <w:t>):625.e</w:t>
            </w:r>
            <w:proofErr w:type="gramEnd"/>
            <w:r w:rsidRPr="00171C7D">
              <w:rPr>
                <w:rFonts w:ascii="Times New Roman" w:eastAsia="Times New Roman" w:hAnsi="Times New Roman" w:cs="Times New Roman"/>
                <w:sz w:val="24"/>
                <w:szCs w:val="24"/>
                <w:lang w:bidi="en-US"/>
              </w:rPr>
              <w:t>621-625.e623.</w:t>
            </w:r>
          </w:p>
        </w:tc>
      </w:tr>
      <w:tr w:rsidR="00630ED8" w:rsidRPr="00630ED8" w14:paraId="56AB0F3B" w14:textId="77777777" w:rsidTr="009229AB">
        <w:trPr>
          <w:jc w:val="center"/>
        </w:trPr>
        <w:tc>
          <w:tcPr>
            <w:tcW w:w="1560" w:type="dxa"/>
            <w:tcBorders>
              <w:bottom w:val="nil"/>
            </w:tcBorders>
          </w:tcPr>
          <w:p w14:paraId="3F3EEB5C" w14:textId="7CF961FB" w:rsidR="00630ED8" w:rsidRPr="00630ED8" w:rsidRDefault="00171C7D" w:rsidP="00F22F63">
            <w:pPr>
              <w:jc w:val="center"/>
              <w:rPr>
                <w:rFonts w:ascii="Times New Roman" w:eastAsia="Times New Roman" w:hAnsi="Times New Roman" w:cs="Times New Roman"/>
                <w:sz w:val="24"/>
                <w:szCs w:val="24"/>
                <w:lang w:bidi="en-US"/>
              </w:rPr>
            </w:pPr>
            <w:r w:rsidRPr="0066206D">
              <w:rPr>
                <w:rFonts w:ascii="Times New Roman" w:hAnsi="Times New Roman" w:cs="Times New Roman"/>
                <w:sz w:val="24"/>
                <w:szCs w:val="24"/>
              </w:rPr>
              <w:lastRenderedPageBreak/>
              <w:t>CSC 2015</w:t>
            </w:r>
          </w:p>
        </w:tc>
        <w:tc>
          <w:tcPr>
            <w:tcW w:w="7800" w:type="dxa"/>
            <w:tcBorders>
              <w:bottom w:val="nil"/>
            </w:tcBorders>
          </w:tcPr>
          <w:p w14:paraId="6BD7F3A6" w14:textId="3D8404F3" w:rsidR="00630ED8" w:rsidRPr="00630ED8" w:rsidRDefault="00641718" w:rsidP="00630ED8">
            <w:pPr>
              <w:jc w:val="left"/>
              <w:rPr>
                <w:rFonts w:ascii="Times New Roman" w:eastAsia="Times New Roman" w:hAnsi="Times New Roman" w:cs="Times New Roman"/>
                <w:sz w:val="24"/>
                <w:szCs w:val="24"/>
                <w:lang w:bidi="en-US"/>
              </w:rPr>
            </w:pPr>
            <w:r w:rsidRPr="00641718">
              <w:rPr>
                <w:rFonts w:ascii="Times New Roman" w:eastAsia="Times New Roman" w:hAnsi="Times New Roman" w:cs="Times New Roman"/>
                <w:sz w:val="24"/>
                <w:szCs w:val="24"/>
                <w:lang w:bidi="en-US"/>
              </w:rPr>
              <w:t>Dong YG, Huang J, Li GH, Li LW, Li WM, Li XL, Liu XH, Liu ZY, Lu YX, Ma AQ, Sun HS, Wang H, Wen XH, Xu DJ, Yang JF, Zhang J, Zhao H, Zhou JM, Zhu LP (2015) Guidelines for the prevention, diagnosis, and treatment of infective endocarditis in adults: The Task Force for the Prevention, Diagnosis, and Treatment of Infective Endocarditis in Adults of Chinese Society of Cardiology of Chinese Medical Association, and of the Editorial Board of Chinese Journal of Cardiology. Eur Heart J Suppl; 2015: 17 (Suppl C): C1-C16. doi: 10.1093/eurheartj/suv031</w:t>
            </w:r>
          </w:p>
        </w:tc>
      </w:tr>
      <w:tr w:rsidR="00630ED8" w:rsidRPr="00630ED8" w14:paraId="2839797C" w14:textId="77777777" w:rsidTr="009229AB">
        <w:trPr>
          <w:jc w:val="center"/>
        </w:trPr>
        <w:tc>
          <w:tcPr>
            <w:tcW w:w="1560" w:type="dxa"/>
            <w:tcBorders>
              <w:top w:val="nil"/>
              <w:bottom w:val="single" w:sz="8" w:space="0" w:color="auto"/>
            </w:tcBorders>
          </w:tcPr>
          <w:p w14:paraId="7B7421DF" w14:textId="168B223D" w:rsidR="00630ED8" w:rsidRPr="00630ED8" w:rsidRDefault="00171C7D" w:rsidP="00F22F63">
            <w:pPr>
              <w:jc w:val="center"/>
              <w:rPr>
                <w:rFonts w:ascii="Times New Roman" w:eastAsia="Times New Roman" w:hAnsi="Times New Roman" w:cs="Times New Roman"/>
                <w:sz w:val="24"/>
                <w:szCs w:val="24"/>
                <w:lang w:bidi="en-US"/>
              </w:rPr>
            </w:pPr>
            <w:r w:rsidRPr="0066206D">
              <w:rPr>
                <w:rFonts w:ascii="Times New Roman" w:hAnsi="Times New Roman" w:cs="Times New Roman"/>
                <w:sz w:val="24"/>
                <w:szCs w:val="24"/>
              </w:rPr>
              <w:t>SSID 2007</w:t>
            </w:r>
          </w:p>
        </w:tc>
        <w:tc>
          <w:tcPr>
            <w:tcW w:w="7800" w:type="dxa"/>
            <w:tcBorders>
              <w:top w:val="nil"/>
              <w:bottom w:val="single" w:sz="8" w:space="0" w:color="auto"/>
            </w:tcBorders>
          </w:tcPr>
          <w:p w14:paraId="3144673E" w14:textId="5A7E59FD" w:rsidR="00630ED8" w:rsidRPr="00630ED8" w:rsidRDefault="00171C7D" w:rsidP="00630ED8">
            <w:pPr>
              <w:jc w:val="left"/>
              <w:rPr>
                <w:rFonts w:ascii="Times New Roman" w:eastAsia="Times New Roman" w:hAnsi="Times New Roman" w:cs="Times New Roman"/>
                <w:sz w:val="24"/>
                <w:szCs w:val="24"/>
                <w:lang w:bidi="en-US"/>
              </w:rPr>
            </w:pPr>
            <w:r w:rsidRPr="00171C7D">
              <w:rPr>
                <w:rFonts w:ascii="Times New Roman" w:eastAsia="Times New Roman" w:hAnsi="Times New Roman" w:cs="Times New Roman"/>
                <w:sz w:val="24"/>
                <w:szCs w:val="24"/>
                <w:lang w:bidi="en-US"/>
              </w:rPr>
              <w:t>Westling K, Aufwerber E, Ekdahl C, Friman G, Gardlund B, Julander I, Olaison L, Olesund C, Rundstrom H, Snygg-Martin U, Thalme A, Werner M, Hogevik H. Swedish guidelines for diagnosis and treatment of infective endocarditis. Scand J Infect Dis 2007;39(11-12):929-946.</w:t>
            </w:r>
          </w:p>
        </w:tc>
      </w:tr>
    </w:tbl>
    <w:p w14:paraId="564CF0A9" w14:textId="77777777" w:rsidR="00630ED8" w:rsidRPr="00630ED8" w:rsidRDefault="00630ED8" w:rsidP="00630ED8">
      <w:pPr>
        <w:rPr>
          <w:rFonts w:ascii="Times New Roman" w:hAnsi="Times New Roman" w:cs="Times New Roman"/>
          <w:sz w:val="24"/>
          <w:szCs w:val="24"/>
        </w:rPr>
      </w:pPr>
    </w:p>
    <w:sectPr w:rsidR="00630ED8" w:rsidRPr="00630ED8" w:rsidSect="00F22F63">
      <w:pgSz w:w="12240" w:h="15840" w:code="1"/>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288F" w14:textId="77777777" w:rsidR="00C16EF9" w:rsidRDefault="00C16EF9" w:rsidP="00D67670">
      <w:r>
        <w:separator/>
      </w:r>
    </w:p>
  </w:endnote>
  <w:endnote w:type="continuationSeparator" w:id="0">
    <w:p w14:paraId="37B53A6C" w14:textId="77777777" w:rsidR="00C16EF9" w:rsidRDefault="00C16EF9" w:rsidP="00D6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87AB8" w14:textId="77777777" w:rsidR="00C16EF9" w:rsidRDefault="00C16EF9" w:rsidP="00D67670">
      <w:r>
        <w:separator/>
      </w:r>
    </w:p>
  </w:footnote>
  <w:footnote w:type="continuationSeparator" w:id="0">
    <w:p w14:paraId="2355E592" w14:textId="77777777" w:rsidR="00C16EF9" w:rsidRDefault="00C16EF9" w:rsidP="00D67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9A"/>
    <w:rsid w:val="000C37FB"/>
    <w:rsid w:val="0013584E"/>
    <w:rsid w:val="00171C7D"/>
    <w:rsid w:val="001A1167"/>
    <w:rsid w:val="00232D31"/>
    <w:rsid w:val="003269BB"/>
    <w:rsid w:val="00520F4E"/>
    <w:rsid w:val="0057784E"/>
    <w:rsid w:val="005C30B4"/>
    <w:rsid w:val="005D3848"/>
    <w:rsid w:val="00630ED8"/>
    <w:rsid w:val="00641718"/>
    <w:rsid w:val="00687310"/>
    <w:rsid w:val="007443AA"/>
    <w:rsid w:val="00786E3A"/>
    <w:rsid w:val="0081049A"/>
    <w:rsid w:val="009222FC"/>
    <w:rsid w:val="009229AB"/>
    <w:rsid w:val="009524EA"/>
    <w:rsid w:val="00B04A41"/>
    <w:rsid w:val="00BB569F"/>
    <w:rsid w:val="00C16EF9"/>
    <w:rsid w:val="00CD3605"/>
    <w:rsid w:val="00D67670"/>
    <w:rsid w:val="00EB6C19"/>
    <w:rsid w:val="00EF4290"/>
    <w:rsid w:val="00F22F63"/>
    <w:rsid w:val="00F35209"/>
    <w:rsid w:val="00F76C1B"/>
    <w:rsid w:val="00FC6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7124"/>
  <w15:chartTrackingRefBased/>
  <w15:docId w15:val="{A00D2A54-BA1A-4B48-8249-3F68348E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6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7670"/>
    <w:rPr>
      <w:sz w:val="18"/>
      <w:szCs w:val="18"/>
    </w:rPr>
  </w:style>
  <w:style w:type="paragraph" w:styleId="a5">
    <w:name w:val="footer"/>
    <w:basedOn w:val="a"/>
    <w:link w:val="a6"/>
    <w:uiPriority w:val="99"/>
    <w:unhideWhenUsed/>
    <w:rsid w:val="00D67670"/>
    <w:pPr>
      <w:tabs>
        <w:tab w:val="center" w:pos="4153"/>
        <w:tab w:val="right" w:pos="8306"/>
      </w:tabs>
      <w:snapToGrid w:val="0"/>
      <w:jc w:val="left"/>
    </w:pPr>
    <w:rPr>
      <w:sz w:val="18"/>
      <w:szCs w:val="18"/>
    </w:rPr>
  </w:style>
  <w:style w:type="character" w:customStyle="1" w:styleId="a6">
    <w:name w:val="页脚 字符"/>
    <w:basedOn w:val="a0"/>
    <w:link w:val="a5"/>
    <w:uiPriority w:val="99"/>
    <w:rsid w:val="00D67670"/>
    <w:rPr>
      <w:sz w:val="18"/>
      <w:szCs w:val="18"/>
    </w:rPr>
  </w:style>
  <w:style w:type="table" w:customStyle="1" w:styleId="TableNormal">
    <w:name w:val="Table Normal"/>
    <w:uiPriority w:val="2"/>
    <w:semiHidden/>
    <w:unhideWhenUsed/>
    <w:qFormat/>
    <w:rsid w:val="00D67670"/>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PP含</dc:creator>
  <cp:keywords/>
  <dc:description/>
  <cp:lastModifiedBy>PP含</cp:lastModifiedBy>
  <cp:revision>8</cp:revision>
  <dcterms:created xsi:type="dcterms:W3CDTF">2020-03-17T20:00:00Z</dcterms:created>
  <dcterms:modified xsi:type="dcterms:W3CDTF">2020-10-17T08:25:00Z</dcterms:modified>
</cp:coreProperties>
</file>