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F1" w:rsidRPr="003B11B0" w:rsidRDefault="00C45EF1" w:rsidP="00C45EF1">
      <w:r>
        <w:rPr>
          <w:rFonts w:ascii="Arial" w:hAnsi="Arial" w:cs="Arial"/>
          <w:b/>
          <w:szCs w:val="22"/>
        </w:rPr>
        <w:t>Supplemental Data</w:t>
      </w: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7" w:rightFromText="187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40"/>
        <w:gridCol w:w="2070"/>
        <w:gridCol w:w="2430"/>
        <w:gridCol w:w="2250"/>
      </w:tblGrid>
      <w:tr w:rsidR="00C45EF1" w:rsidRPr="0053290A" w:rsidTr="00C45EF1">
        <w:trPr>
          <w:trHeight w:val="144"/>
        </w:trPr>
        <w:tc>
          <w:tcPr>
            <w:tcW w:w="324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9819AF" w:rsidRDefault="00C45EF1" w:rsidP="00B26A8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9819AF" w:rsidRDefault="00C45EF1" w:rsidP="00B26A8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9819AF" w:rsidRDefault="00C45EF1" w:rsidP="00B26A8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9819AF" w:rsidRDefault="00C45EF1" w:rsidP="00B26A89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C45EF1" w:rsidRPr="003F3CD0" w:rsidTr="00C45EF1">
        <w:trPr>
          <w:trHeight w:val="80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8A2285" w:rsidRDefault="00C45EF1" w:rsidP="00C45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Subjects </w:t>
            </w:r>
            <w:r>
              <w:rPr>
                <w:rFonts w:ascii="Arial" w:hAnsi="Arial" w:cs="Arial"/>
                <w:b/>
              </w:rPr>
              <w:t xml:space="preserve">without </w:t>
            </w:r>
            <w:r w:rsidRPr="008A2285">
              <w:rPr>
                <w:rFonts w:ascii="Arial" w:hAnsi="Arial" w:cs="Arial"/>
                <w:b/>
              </w:rPr>
              <w:t>PEX</w:t>
            </w:r>
          </w:p>
          <w:p w:rsidR="00C45EF1" w:rsidRPr="008A2285" w:rsidRDefault="00C45EF1" w:rsidP="00B26A89">
            <w:pPr>
              <w:jc w:val="center"/>
              <w:rPr>
                <w:rFonts w:ascii="Arial" w:hAnsi="Arial" w:cs="Arial"/>
                <w:b/>
              </w:rPr>
            </w:pPr>
            <w:r w:rsidRPr="008A2285">
              <w:rPr>
                <w:rFonts w:ascii="Arial" w:hAnsi="Arial" w:cs="Arial"/>
                <w:b/>
              </w:rPr>
              <w:t>(n = 10)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8A2285" w:rsidRDefault="00C45EF1" w:rsidP="00B26A89">
            <w:pPr>
              <w:jc w:val="center"/>
              <w:rPr>
                <w:rFonts w:ascii="Arial" w:hAnsi="Arial" w:cs="Arial"/>
                <w:b/>
              </w:rPr>
            </w:pPr>
            <w:r w:rsidRPr="008A2285">
              <w:rPr>
                <w:rFonts w:ascii="Arial" w:hAnsi="Arial" w:cs="Arial"/>
                <w:b/>
              </w:rPr>
              <w:t>Sustained</w:t>
            </w:r>
          </w:p>
          <w:p w:rsidR="00C45EF1" w:rsidRPr="008A2285" w:rsidRDefault="00C45EF1" w:rsidP="00B26A89">
            <w:pPr>
              <w:jc w:val="center"/>
              <w:rPr>
                <w:rFonts w:ascii="Arial" w:hAnsi="Arial" w:cs="Arial"/>
                <w:b/>
              </w:rPr>
            </w:pPr>
            <w:r w:rsidRPr="008A2285">
              <w:rPr>
                <w:rFonts w:ascii="Arial" w:hAnsi="Arial" w:cs="Arial"/>
                <w:b/>
              </w:rPr>
              <w:t>Responders</w:t>
            </w:r>
          </w:p>
          <w:p w:rsidR="00C45EF1" w:rsidRPr="008A2285" w:rsidRDefault="00C45EF1" w:rsidP="00B26A89">
            <w:pPr>
              <w:jc w:val="center"/>
              <w:rPr>
                <w:rFonts w:ascii="Arial" w:hAnsi="Arial" w:cs="Arial"/>
                <w:b/>
              </w:rPr>
            </w:pPr>
            <w:r w:rsidRPr="008A2285">
              <w:rPr>
                <w:rFonts w:ascii="Arial" w:hAnsi="Arial" w:cs="Arial"/>
                <w:b/>
              </w:rPr>
              <w:t>(n = 10)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8A2285" w:rsidRDefault="00C45EF1" w:rsidP="00B26A89">
            <w:pPr>
              <w:jc w:val="center"/>
              <w:rPr>
                <w:rFonts w:ascii="Arial" w:hAnsi="Arial" w:cs="Arial"/>
                <w:b/>
              </w:rPr>
            </w:pPr>
            <w:r w:rsidRPr="008A2285">
              <w:rPr>
                <w:rFonts w:ascii="Arial" w:hAnsi="Arial" w:cs="Arial"/>
                <w:b/>
              </w:rPr>
              <w:t>Non-Sustained Responders</w:t>
            </w:r>
          </w:p>
          <w:p w:rsidR="00C45EF1" w:rsidRPr="008A2285" w:rsidRDefault="00C45EF1" w:rsidP="00B26A89">
            <w:pPr>
              <w:jc w:val="center"/>
              <w:rPr>
                <w:rFonts w:ascii="Arial" w:hAnsi="Arial" w:cs="Arial"/>
                <w:b/>
              </w:rPr>
            </w:pPr>
            <w:r w:rsidRPr="008A2285">
              <w:rPr>
                <w:rFonts w:ascii="Arial" w:hAnsi="Arial" w:cs="Arial"/>
                <w:b/>
              </w:rPr>
              <w:t>(n = 10)</w:t>
            </w:r>
          </w:p>
        </w:tc>
      </w:tr>
      <w:tr w:rsidR="00C45EF1" w:rsidRPr="003F3CD0" w:rsidTr="00C45EF1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9819AF" w:rsidRDefault="00C45EF1" w:rsidP="00B26A8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9819AF" w:rsidRDefault="00C45EF1" w:rsidP="00B26A8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9819AF" w:rsidRDefault="00C45EF1" w:rsidP="00B26A8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9819AF" w:rsidRDefault="00C45EF1" w:rsidP="00B26A89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C45EF1" w:rsidRPr="003F3CD0" w:rsidTr="00C45EF1">
        <w:trPr>
          <w:trHeight w:val="144"/>
        </w:trPr>
        <w:tc>
          <w:tcPr>
            <w:tcW w:w="324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9819AF" w:rsidRDefault="00C45EF1" w:rsidP="00B26A8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9819AF" w:rsidRDefault="00C45EF1" w:rsidP="00B26A8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9819AF" w:rsidRDefault="00C45EF1" w:rsidP="00B26A8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9819AF" w:rsidRDefault="00C45EF1" w:rsidP="00B26A89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C45EF1" w:rsidRPr="003F3CD0" w:rsidTr="00C45EF1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Age, yrs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33.5 (19-58)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r w:rsidRPr="003F3CD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25-46</w:t>
            </w:r>
            <w:r w:rsidRPr="003F3CD0">
              <w:rPr>
                <w:rFonts w:ascii="Arial" w:hAnsi="Arial" w:cs="Arial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(21-52)</w:t>
            </w:r>
          </w:p>
        </w:tc>
      </w:tr>
      <w:tr w:rsidR="00C45EF1" w:rsidRPr="003F3CD0" w:rsidTr="00C45EF1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Male / Female, 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5 / 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7 / 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6 / 4</w:t>
            </w:r>
          </w:p>
        </w:tc>
      </w:tr>
      <w:tr w:rsidR="00C45EF1" w:rsidRPr="003F3CD0" w:rsidTr="00C45EF1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Body weight, kg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59.</w:t>
            </w:r>
            <w:r>
              <w:rPr>
                <w:rFonts w:ascii="Arial" w:hAnsi="Arial" w:cs="Arial"/>
              </w:rPr>
              <w:t>3</w:t>
            </w:r>
            <w:r w:rsidRPr="003F3CD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52.4-78.6</w:t>
            </w:r>
            <w:r w:rsidRPr="003F3CD0">
              <w:rPr>
                <w:rFonts w:ascii="Arial" w:hAnsi="Arial" w:cs="Arial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57.7 (43.1-99.6)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60.2 (44.0-74.0)</w:t>
            </w:r>
          </w:p>
        </w:tc>
      </w:tr>
      <w:tr w:rsidR="00C45EF1" w:rsidRPr="003F3CD0" w:rsidTr="00C45EF1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F508del-CFTR x 2, n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5 (50)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6 (60)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6 (60)</w:t>
            </w:r>
          </w:p>
        </w:tc>
      </w:tr>
      <w:tr w:rsidR="00C45EF1" w:rsidRPr="003F3CD0" w:rsidTr="00C45EF1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FEV1, % predicted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69.0 (22-97)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60.5 (25-91)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35.5 (22-70) *</w:t>
            </w:r>
            <w:r w:rsidRPr="00C26EC3">
              <w:rPr>
                <w:rFonts w:ascii="Arial" w:hAnsi="Arial" w:cs="Arial"/>
                <w:vertAlign w:val="superscript"/>
              </w:rPr>
              <w:t>†</w:t>
            </w:r>
          </w:p>
        </w:tc>
      </w:tr>
      <w:tr w:rsidR="00C45EF1" w:rsidRPr="003F3CD0" w:rsidTr="00C45EF1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FVC%, % predicted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77.5 (37-96)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81.5 (36-102)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44.5 (36-86)</w:t>
            </w:r>
          </w:p>
        </w:tc>
      </w:tr>
      <w:tr w:rsidR="00C45EF1" w:rsidRPr="003F3CD0" w:rsidTr="00C45EF1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MRSA, n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0 (0)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3 (30)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2 (20)</w:t>
            </w:r>
          </w:p>
        </w:tc>
      </w:tr>
      <w:tr w:rsidR="00C45EF1" w:rsidRPr="003F3CD0" w:rsidTr="00C45EF1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  <w:i/>
              </w:rPr>
              <w:t>Burkholderia</w:t>
            </w:r>
            <w:r w:rsidRPr="003F3CD0">
              <w:rPr>
                <w:rFonts w:ascii="Arial" w:hAnsi="Arial" w:cs="Arial"/>
              </w:rPr>
              <w:t xml:space="preserve"> species, n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0 (0)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2 (20)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2 (20)</w:t>
            </w:r>
          </w:p>
        </w:tc>
      </w:tr>
      <w:tr w:rsidR="00C45EF1" w:rsidRPr="003F3CD0" w:rsidTr="00C45EF1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  <w:i/>
              </w:rPr>
              <w:t>P. aeruginosa</w:t>
            </w:r>
            <w:r w:rsidRPr="003F3CD0">
              <w:rPr>
                <w:rFonts w:ascii="Arial" w:hAnsi="Arial" w:cs="Arial"/>
              </w:rPr>
              <w:t>, n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8 (80)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(40</w:t>
            </w:r>
            <w:r w:rsidRPr="003F3CD0">
              <w:rPr>
                <w:rFonts w:ascii="Arial" w:hAnsi="Arial" w:cs="Arial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6 (60)</w:t>
            </w:r>
          </w:p>
        </w:tc>
      </w:tr>
      <w:tr w:rsidR="00C45EF1" w:rsidRPr="003F3CD0" w:rsidTr="00C45EF1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Akron PES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(0-4)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 (0-4)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 (0-4)</w:t>
            </w:r>
          </w:p>
        </w:tc>
      </w:tr>
      <w:tr w:rsidR="00C45EF1" w:rsidRPr="003F3CD0" w:rsidTr="00C45EF1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CFRSD-CRISS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36.5 (23-48)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31.5 (23-44)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(23-52)</w:t>
            </w:r>
          </w:p>
        </w:tc>
      </w:tr>
      <w:tr w:rsidR="00C45EF1" w:rsidRPr="003F3CD0" w:rsidTr="00C45EF1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WBC, x10</w:t>
            </w:r>
            <w:r w:rsidRPr="003F3CD0">
              <w:rPr>
                <w:rFonts w:ascii="Arial" w:hAnsi="Arial" w:cs="Arial"/>
                <w:vertAlign w:val="superscript"/>
              </w:rPr>
              <w:t>3</w:t>
            </w:r>
            <w:r w:rsidRPr="003F3CD0">
              <w:rPr>
                <w:rFonts w:ascii="Arial" w:hAnsi="Arial" w:cs="Arial"/>
              </w:rPr>
              <w:t>/</w:t>
            </w:r>
            <w:r w:rsidRPr="003F3CD0">
              <w:rPr>
                <w:rFonts w:ascii="Arial" w:hAnsi="Arial" w:cs="Arial"/>
              </w:rPr>
              <w:sym w:font="Symbol" w:char="F06D"/>
            </w:r>
            <w:r w:rsidRPr="003F3CD0">
              <w:rPr>
                <w:rFonts w:ascii="Arial" w:hAnsi="Arial" w:cs="Arial"/>
              </w:rPr>
              <w:t>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 (6.7-17.2)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 (5.0-14.2)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 (4.5-15.5)</w:t>
            </w:r>
          </w:p>
        </w:tc>
      </w:tr>
      <w:tr w:rsidR="00C45EF1" w:rsidRPr="003F3CD0" w:rsidTr="00C45EF1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WBC neutrophils, 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73.5 (53.0-86.0)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68.8 (54.3-75.1)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77.2 (56.1-81.4)</w:t>
            </w:r>
          </w:p>
        </w:tc>
      </w:tr>
      <w:tr w:rsidR="00C45EF1" w:rsidRPr="003F3CD0" w:rsidTr="00C45EF1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Hemoglobin, gm/dl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 (12.0-15.8)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 (9.7-15.1)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 (11.8-16.5)</w:t>
            </w:r>
          </w:p>
        </w:tc>
      </w:tr>
      <w:tr w:rsidR="00C45EF1" w:rsidRPr="003F3CD0" w:rsidTr="00C45EF1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Platelets, x10</w:t>
            </w:r>
            <w:r w:rsidRPr="003F3CD0">
              <w:rPr>
                <w:rFonts w:ascii="Arial" w:hAnsi="Arial" w:cs="Arial"/>
                <w:vertAlign w:val="superscript"/>
              </w:rPr>
              <w:t>3</w:t>
            </w:r>
            <w:r w:rsidRPr="003F3CD0">
              <w:rPr>
                <w:rFonts w:ascii="Arial" w:hAnsi="Arial" w:cs="Arial"/>
              </w:rPr>
              <w:t>/</w:t>
            </w:r>
            <w:r w:rsidRPr="003F3CD0">
              <w:rPr>
                <w:rFonts w:ascii="Arial" w:hAnsi="Arial" w:cs="Arial"/>
              </w:rPr>
              <w:sym w:font="Symbol" w:char="F06D"/>
            </w:r>
            <w:r w:rsidRPr="003F3CD0">
              <w:rPr>
                <w:rFonts w:ascii="Arial" w:hAnsi="Arial" w:cs="Arial"/>
              </w:rPr>
              <w:t>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 (165-422)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 (195-551)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 (207-374)</w:t>
            </w:r>
          </w:p>
        </w:tc>
      </w:tr>
      <w:tr w:rsidR="00C45EF1" w:rsidRPr="003F3CD0" w:rsidTr="00C45EF1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 xml:space="preserve">Serum iron, </w:t>
            </w:r>
            <w:r w:rsidRPr="003F3CD0">
              <w:rPr>
                <w:rFonts w:ascii="Arial" w:hAnsi="Arial" w:cs="Arial"/>
              </w:rPr>
              <w:sym w:font="Symbol" w:char="F06D"/>
            </w:r>
            <w:r w:rsidRPr="003F3CD0">
              <w:rPr>
                <w:rFonts w:ascii="Arial" w:hAnsi="Arial" w:cs="Arial"/>
              </w:rPr>
              <w:t>g/dl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59.5 (34-108)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44.5 (10-160)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27.5 (17-80)</w:t>
            </w:r>
          </w:p>
        </w:tc>
      </w:tr>
      <w:tr w:rsidR="00C45EF1" w:rsidRPr="003F3CD0" w:rsidTr="00C45EF1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Sputum iron, ng/mg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2,415 (373-10,366)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1,711 (677-8,352)</w:t>
            </w:r>
          </w:p>
        </w:tc>
      </w:tr>
      <w:tr w:rsidR="00C45EF1" w:rsidRPr="003F3CD0" w:rsidTr="00C45EF1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Serum hepcidin-25, ng/ml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N/A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52.9 (10.5-214.3)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64.6 (9.4-165.9)</w:t>
            </w:r>
          </w:p>
        </w:tc>
      </w:tr>
      <w:tr w:rsidR="00C45EF1" w:rsidRPr="003F3CD0" w:rsidTr="00C45EF1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Serum IL-6, pg/ml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 w:rsidRPr="003F3CD0">
              <w:rPr>
                <w:rFonts w:ascii="Arial" w:hAnsi="Arial" w:cs="Arial"/>
              </w:rPr>
              <w:t>N/A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 (1.6-22.8)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3F3CD0" w:rsidRDefault="00C45EF1" w:rsidP="00B26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 (2.6-17.3)</w:t>
            </w:r>
          </w:p>
        </w:tc>
      </w:tr>
      <w:tr w:rsidR="00C45EF1" w:rsidRPr="003F3CD0" w:rsidTr="00C45EF1">
        <w:trPr>
          <w:trHeight w:val="216"/>
        </w:trPr>
        <w:tc>
          <w:tcPr>
            <w:tcW w:w="32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AF5A02" w:rsidRDefault="00C45EF1" w:rsidP="00B26A8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AF5A02" w:rsidRDefault="00C45EF1" w:rsidP="00B26A8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AF5A02" w:rsidRDefault="00C45EF1" w:rsidP="00B26A8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AF5A02" w:rsidRDefault="00C45EF1" w:rsidP="00B26A8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sz w:val="22"/>
          <w:szCs w:val="22"/>
        </w:rPr>
      </w:pPr>
      <w:r w:rsidRPr="005C0947">
        <w:rPr>
          <w:rFonts w:ascii="Arial" w:hAnsi="Arial" w:cs="Arial"/>
          <w:b/>
          <w:sz w:val="22"/>
          <w:szCs w:val="22"/>
        </w:rPr>
        <w:t>Table S1</w:t>
      </w:r>
      <w:r>
        <w:rPr>
          <w:rFonts w:ascii="Arial" w:hAnsi="Arial" w:cs="Arial"/>
          <w:sz w:val="22"/>
          <w:szCs w:val="22"/>
        </w:rPr>
        <w:t>. Baseline c</w:t>
      </w:r>
      <w:r w:rsidRPr="00473298">
        <w:rPr>
          <w:rFonts w:ascii="Arial" w:hAnsi="Arial" w:cs="Arial"/>
          <w:sz w:val="22"/>
          <w:szCs w:val="22"/>
        </w:rPr>
        <w:t>linical and biochemical cha</w:t>
      </w:r>
      <w:r>
        <w:rPr>
          <w:rFonts w:ascii="Arial" w:hAnsi="Arial" w:cs="Arial"/>
          <w:sz w:val="22"/>
          <w:szCs w:val="22"/>
        </w:rPr>
        <w:t>racteristics of subjects who were screened but never experienced a PEX, SRs, and NSRs</w:t>
      </w:r>
      <w:r w:rsidRPr="004732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N/A = not available. Data are presented as median (range) unless otherwise noted. * </w:t>
      </w:r>
      <w:proofErr w:type="gramStart"/>
      <w:r w:rsidRPr="00473298">
        <w:rPr>
          <w:rFonts w:ascii="Arial" w:hAnsi="Arial" w:cs="Arial"/>
          <w:sz w:val="22"/>
          <w:szCs w:val="22"/>
        </w:rPr>
        <w:t>p</w:t>
      </w:r>
      <w:proofErr w:type="gramEnd"/>
      <w:r w:rsidRPr="00473298">
        <w:rPr>
          <w:rFonts w:ascii="Arial" w:hAnsi="Arial" w:cs="Arial"/>
          <w:sz w:val="22"/>
          <w:szCs w:val="22"/>
        </w:rPr>
        <w:t xml:space="preserve"> &lt;</w:t>
      </w:r>
      <w:r>
        <w:rPr>
          <w:rFonts w:ascii="Arial" w:hAnsi="Arial" w:cs="Arial"/>
          <w:sz w:val="22"/>
          <w:szCs w:val="22"/>
        </w:rPr>
        <w:t xml:space="preserve"> </w:t>
      </w:r>
      <w:r w:rsidRPr="00473298">
        <w:rPr>
          <w:rFonts w:ascii="Arial" w:hAnsi="Arial" w:cs="Arial"/>
          <w:sz w:val="22"/>
          <w:szCs w:val="22"/>
        </w:rPr>
        <w:t>0.05</w:t>
      </w:r>
      <w:r>
        <w:rPr>
          <w:rFonts w:ascii="Arial" w:hAnsi="Arial" w:cs="Arial"/>
          <w:sz w:val="22"/>
          <w:szCs w:val="22"/>
        </w:rPr>
        <w:t xml:space="preserve"> vs. SRs. </w:t>
      </w:r>
      <w:r w:rsidRPr="00DF0DFD">
        <w:rPr>
          <w:rFonts w:ascii="Arial" w:hAnsi="Arial" w:cs="Arial"/>
          <w:sz w:val="22"/>
          <w:szCs w:val="22"/>
          <w:vertAlign w:val="superscript"/>
        </w:rPr>
        <w:t>†</w:t>
      </w:r>
      <w:r>
        <w:rPr>
          <w:rFonts w:ascii="Arial" w:hAnsi="Arial" w:cs="Arial"/>
          <w:sz w:val="22"/>
          <w:szCs w:val="22"/>
        </w:rPr>
        <w:t xml:space="preserve"> </w:t>
      </w:r>
      <w:r w:rsidRPr="0047329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&lt; 0.05 vs. subjects without PEX.</w:t>
      </w: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6210"/>
        <w:gridCol w:w="1876"/>
        <w:gridCol w:w="1798"/>
        <w:gridCol w:w="1091"/>
      </w:tblGrid>
      <w:tr w:rsidR="00C45EF1" w:rsidRPr="00514BDD" w:rsidTr="00C45EF1">
        <w:trPr>
          <w:trHeight w:val="386"/>
          <w:jc w:val="center"/>
        </w:trPr>
        <w:tc>
          <w:tcPr>
            <w:tcW w:w="62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lastRenderedPageBreak/>
              <w:t>Model Parameter</w:t>
            </w:r>
          </w:p>
        </w:tc>
        <w:tc>
          <w:tcPr>
            <w:tcW w:w="18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Coefficient </w:t>
            </w:r>
            <w:r w:rsidRPr="00514BDD">
              <w:rPr>
                <w:rFonts w:ascii="Arial" w:hAnsi="Arial" w:cs="Arial"/>
                <w:b/>
                <w:szCs w:val="22"/>
              </w:rPr>
              <w:t>(β)</w:t>
            </w:r>
          </w:p>
        </w:tc>
        <w:tc>
          <w:tcPr>
            <w:tcW w:w="17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t>95% C</w:t>
            </w:r>
            <w:r>
              <w:rPr>
                <w:rFonts w:ascii="Arial" w:hAnsi="Arial" w:cs="Arial"/>
                <w:b/>
                <w:szCs w:val="22"/>
              </w:rPr>
              <w:t>.</w:t>
            </w:r>
            <w:r w:rsidRPr="00514BDD">
              <w:rPr>
                <w:rFonts w:ascii="Arial" w:hAnsi="Arial" w:cs="Arial"/>
                <w:b/>
                <w:szCs w:val="22"/>
              </w:rPr>
              <w:t>I</w:t>
            </w:r>
            <w:r>
              <w:rPr>
                <w:rFonts w:ascii="Arial" w:hAnsi="Arial" w:cs="Arial"/>
                <w:b/>
                <w:szCs w:val="22"/>
              </w:rPr>
              <w:t>.</w:t>
            </w:r>
            <w:r w:rsidRPr="00514BDD">
              <w:rPr>
                <w:rFonts w:ascii="Arial" w:hAnsi="Arial" w:cs="Arial"/>
                <w:b/>
                <w:szCs w:val="22"/>
              </w:rPr>
              <w:t xml:space="preserve"> (β)</w:t>
            </w:r>
          </w:p>
        </w:tc>
        <w:tc>
          <w:tcPr>
            <w:tcW w:w="10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t>p-value</w:t>
            </w:r>
          </w:p>
        </w:tc>
      </w:tr>
      <w:tr w:rsidR="00C45EF1" w:rsidRPr="00433C9B" w:rsidTr="00C45EF1">
        <w:trPr>
          <w:jc w:val="center"/>
        </w:trPr>
        <w:tc>
          <w:tcPr>
            <w:tcW w:w="621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7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9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5EF1" w:rsidRPr="00433C9B" w:rsidTr="00C45EF1">
        <w:trPr>
          <w:trHeight w:val="36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Quadratic Interaction term (Group • days</w:t>
            </w:r>
            <w:r w:rsidRPr="006E500B">
              <w:rPr>
                <w:rFonts w:ascii="Arial" w:hAnsi="Arial" w:cs="Arial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0.11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0.04, 0.18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0.003</w:t>
            </w:r>
          </w:p>
        </w:tc>
      </w:tr>
      <w:tr w:rsidR="00C45EF1" w:rsidRPr="00433C9B" w:rsidTr="00C45EF1">
        <w:trPr>
          <w:trHeight w:val="36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Linear Interaction term (Group • days)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0.09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-0.55, 0.73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0.78</w:t>
            </w:r>
          </w:p>
        </w:tc>
      </w:tr>
      <w:tr w:rsidR="00C45EF1" w:rsidRPr="00433C9B" w:rsidTr="00C45EF1">
        <w:trPr>
          <w:trHeight w:val="36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rPr>
                <w:rFonts w:ascii="Arial" w:hAnsi="Arial" w:cs="Arial"/>
                <w:szCs w:val="22"/>
              </w:rPr>
            </w:pPr>
            <w:r w:rsidRPr="00433C9B">
              <w:rPr>
                <w:rFonts w:ascii="Arial" w:hAnsi="Arial" w:cs="Arial"/>
                <w:szCs w:val="22"/>
              </w:rPr>
              <w:t>Quadratic Time After PEX Onset (</w:t>
            </w:r>
            <w:r>
              <w:rPr>
                <w:rFonts w:ascii="Arial" w:hAnsi="Arial" w:cs="Arial"/>
                <w:szCs w:val="22"/>
              </w:rPr>
              <w:t>days</w:t>
            </w:r>
            <w:r>
              <w:rPr>
                <w:rFonts w:ascii="Arial" w:hAnsi="Arial" w:cs="Arial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0.07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0.02, 0.12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0.004</w:t>
            </w:r>
          </w:p>
        </w:tc>
      </w:tr>
      <w:tr w:rsidR="00C45EF1" w:rsidRPr="00433C9B" w:rsidTr="00C45EF1">
        <w:trPr>
          <w:trHeight w:val="36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rPr>
                <w:rFonts w:ascii="Arial" w:hAnsi="Arial" w:cs="Arial"/>
                <w:szCs w:val="22"/>
              </w:rPr>
            </w:pPr>
            <w:r w:rsidRPr="00433C9B">
              <w:rPr>
                <w:rFonts w:ascii="Arial" w:hAnsi="Arial" w:cs="Arial"/>
                <w:szCs w:val="22"/>
              </w:rPr>
              <w:t>Linear Time After PEX Onset (days)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-2.2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-2.6, -1.7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&lt;0.0001</w:t>
            </w:r>
          </w:p>
        </w:tc>
      </w:tr>
      <w:tr w:rsidR="00C45EF1" w:rsidRPr="00433C9B" w:rsidTr="00C45EF1">
        <w:trPr>
          <w:trHeight w:val="36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rPr>
                <w:rFonts w:ascii="Arial" w:hAnsi="Arial" w:cs="Arial"/>
                <w:szCs w:val="22"/>
              </w:rPr>
            </w:pPr>
            <w:r w:rsidRPr="00433C9B">
              <w:rPr>
                <w:rFonts w:ascii="Arial" w:hAnsi="Arial" w:cs="Arial"/>
                <w:szCs w:val="22"/>
              </w:rPr>
              <w:t xml:space="preserve">Difference </w:t>
            </w:r>
            <w:r>
              <w:rPr>
                <w:rFonts w:ascii="Arial" w:hAnsi="Arial" w:cs="Arial"/>
                <w:szCs w:val="22"/>
              </w:rPr>
              <w:t xml:space="preserve">in CFRSD-CRISS </w:t>
            </w:r>
            <w:r w:rsidRPr="00433C9B">
              <w:rPr>
                <w:rFonts w:ascii="Arial" w:hAnsi="Arial" w:cs="Arial"/>
                <w:szCs w:val="22"/>
              </w:rPr>
              <w:t>at PEX Onset</w:t>
            </w:r>
            <w:r>
              <w:rPr>
                <w:rFonts w:ascii="Arial" w:hAnsi="Arial" w:cs="Arial"/>
                <w:szCs w:val="22"/>
              </w:rPr>
              <w:t xml:space="preserve"> (NSR - SR)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-5.5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-12.5, 1.5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0.12</w:t>
            </w:r>
          </w:p>
        </w:tc>
      </w:tr>
      <w:tr w:rsidR="00C45EF1" w:rsidRPr="00433C9B" w:rsidTr="00C45EF1">
        <w:trPr>
          <w:trHeight w:val="36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Constant (CFRSD-CRISS)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40.3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35.4, 45.2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&lt;0.0001</w:t>
            </w:r>
          </w:p>
        </w:tc>
      </w:tr>
      <w:tr w:rsidR="00C45EF1" w:rsidRPr="00433C9B" w:rsidTr="00C45EF1">
        <w:trPr>
          <w:jc w:val="center"/>
        </w:trPr>
        <w:tc>
          <w:tcPr>
            <w:tcW w:w="62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S2</w:t>
      </w:r>
      <w:r>
        <w:rPr>
          <w:rFonts w:ascii="Arial" w:hAnsi="Arial" w:cs="Arial"/>
          <w:sz w:val="22"/>
          <w:szCs w:val="22"/>
        </w:rPr>
        <w:t>. Linear mixed model (LMM) describing CFRSD-CRISS over time between two PEX treatment response groups, sustained responders (SRs, n = 10) and non-sustained responders (NSRs, n = 10). C.I. = confidence interval. Number of observations = 96. Number of subjects = 20. Observations per group: minimum = 3, maximum = 7, average = 4.8.</w:t>
      </w: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5670"/>
        <w:gridCol w:w="2160"/>
        <w:gridCol w:w="2054"/>
        <w:gridCol w:w="1091"/>
      </w:tblGrid>
      <w:tr w:rsidR="00C45EF1" w:rsidRPr="00514BDD" w:rsidTr="00AF6E19">
        <w:trPr>
          <w:trHeight w:val="386"/>
          <w:jc w:val="center"/>
        </w:trPr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lastRenderedPageBreak/>
              <w:t>Model Parameter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t>Coefficient (β)</w:t>
            </w:r>
          </w:p>
        </w:tc>
        <w:tc>
          <w:tcPr>
            <w:tcW w:w="20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t>95% C</w:t>
            </w:r>
            <w:r>
              <w:rPr>
                <w:rFonts w:ascii="Arial" w:hAnsi="Arial" w:cs="Arial"/>
                <w:b/>
                <w:szCs w:val="22"/>
              </w:rPr>
              <w:t>.</w:t>
            </w:r>
            <w:r w:rsidRPr="00514BDD">
              <w:rPr>
                <w:rFonts w:ascii="Arial" w:hAnsi="Arial" w:cs="Arial"/>
                <w:b/>
                <w:szCs w:val="22"/>
              </w:rPr>
              <w:t>I</w:t>
            </w:r>
            <w:r>
              <w:rPr>
                <w:rFonts w:ascii="Arial" w:hAnsi="Arial" w:cs="Arial"/>
                <w:b/>
                <w:szCs w:val="22"/>
              </w:rPr>
              <w:t>.</w:t>
            </w:r>
            <w:r w:rsidRPr="00514BDD">
              <w:rPr>
                <w:rFonts w:ascii="Arial" w:hAnsi="Arial" w:cs="Arial"/>
                <w:b/>
                <w:szCs w:val="22"/>
              </w:rPr>
              <w:t xml:space="preserve"> (β)</w:t>
            </w:r>
          </w:p>
        </w:tc>
        <w:tc>
          <w:tcPr>
            <w:tcW w:w="10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t>p-value</w:t>
            </w:r>
          </w:p>
        </w:tc>
      </w:tr>
      <w:tr w:rsidR="00C45EF1" w:rsidRPr="00433C9B" w:rsidTr="00AF6E19">
        <w:trPr>
          <w:jc w:val="center"/>
        </w:trPr>
        <w:tc>
          <w:tcPr>
            <w:tcW w:w="567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5EF1" w:rsidRPr="00433C9B" w:rsidTr="00AF6E19">
        <w:trPr>
          <w:trHeight w:val="36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Quadratic Interaction term (Group • days</w:t>
            </w:r>
            <w:r w:rsidRPr="006E500B">
              <w:rPr>
                <w:rFonts w:ascii="Arial" w:hAnsi="Arial" w:cs="Arial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0.01, 0.11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0.02</w:t>
            </w:r>
          </w:p>
        </w:tc>
      </w:tr>
      <w:tr w:rsidR="00C45EF1" w:rsidRPr="00433C9B" w:rsidTr="00AF6E19">
        <w:trPr>
          <w:trHeight w:val="36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Linear Interaction term (Group • days)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-1.7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-2.2, -1.2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&lt;0.0001</w:t>
            </w:r>
          </w:p>
        </w:tc>
      </w:tr>
      <w:tr w:rsidR="00C45EF1" w:rsidRPr="00433C9B" w:rsidTr="00AF6E19">
        <w:trPr>
          <w:trHeight w:val="36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  <w:r w:rsidRPr="00433C9B">
              <w:rPr>
                <w:rFonts w:ascii="Arial" w:hAnsi="Arial" w:cs="Arial"/>
                <w:szCs w:val="22"/>
              </w:rPr>
              <w:t>Quadratic Time After PEX Onset (</w:t>
            </w:r>
            <w:r>
              <w:rPr>
                <w:rFonts w:ascii="Arial" w:hAnsi="Arial" w:cs="Arial"/>
                <w:szCs w:val="22"/>
              </w:rPr>
              <w:t>days</w:t>
            </w:r>
            <w:r>
              <w:rPr>
                <w:rFonts w:ascii="Arial" w:hAnsi="Arial" w:cs="Arial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-0.08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-0.12, -0.05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&lt;0.0001</w:t>
            </w:r>
          </w:p>
        </w:tc>
      </w:tr>
      <w:tr w:rsidR="00C45EF1" w:rsidRPr="00433C9B" w:rsidTr="00AF6E19">
        <w:trPr>
          <w:trHeight w:val="36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rPr>
                <w:rFonts w:ascii="Arial" w:hAnsi="Arial" w:cs="Arial"/>
                <w:szCs w:val="22"/>
              </w:rPr>
            </w:pPr>
            <w:r w:rsidRPr="00433C9B">
              <w:rPr>
                <w:rFonts w:ascii="Arial" w:hAnsi="Arial" w:cs="Arial"/>
                <w:szCs w:val="22"/>
              </w:rPr>
              <w:t>Linear Time After PEX Onset (days)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1.7, 2.5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&lt;0.0001</w:t>
            </w:r>
          </w:p>
        </w:tc>
      </w:tr>
      <w:tr w:rsidR="00C45EF1" w:rsidRPr="00433C9B" w:rsidTr="00AF6E19">
        <w:trPr>
          <w:trHeight w:val="36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  <w:r w:rsidRPr="00433C9B">
              <w:rPr>
                <w:rFonts w:ascii="Arial" w:hAnsi="Arial" w:cs="Arial"/>
                <w:szCs w:val="22"/>
              </w:rPr>
              <w:t xml:space="preserve">Difference </w:t>
            </w:r>
            <w:r>
              <w:rPr>
                <w:rFonts w:ascii="Arial" w:hAnsi="Arial" w:cs="Arial"/>
                <w:szCs w:val="22"/>
              </w:rPr>
              <w:t xml:space="preserve">in FEV1% </w:t>
            </w:r>
            <w:r w:rsidRPr="00433C9B">
              <w:rPr>
                <w:rFonts w:ascii="Arial" w:hAnsi="Arial" w:cs="Arial"/>
                <w:szCs w:val="22"/>
              </w:rPr>
              <w:t>at PEX Onset</w:t>
            </w:r>
            <w:r>
              <w:rPr>
                <w:rFonts w:ascii="Arial" w:hAnsi="Arial" w:cs="Arial"/>
                <w:szCs w:val="22"/>
              </w:rPr>
              <w:t xml:space="preserve"> (NSR - SR)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-15.3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-31.0, 0.4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0.06</w:t>
            </w:r>
          </w:p>
        </w:tc>
      </w:tr>
      <w:tr w:rsidR="00C45EF1" w:rsidRPr="00433C9B" w:rsidTr="00AF6E19">
        <w:trPr>
          <w:trHeight w:val="36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Constant (FEV1%)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53.4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42.2, 64.6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&lt;0.0001</w:t>
            </w:r>
          </w:p>
        </w:tc>
      </w:tr>
      <w:tr w:rsidR="00C45EF1" w:rsidRPr="00433C9B" w:rsidTr="00AF6E19">
        <w:trPr>
          <w:jc w:val="center"/>
        </w:trPr>
        <w:tc>
          <w:tcPr>
            <w:tcW w:w="567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S3</w:t>
      </w:r>
      <w:r>
        <w:rPr>
          <w:rFonts w:ascii="Arial" w:hAnsi="Arial" w:cs="Arial"/>
          <w:sz w:val="22"/>
          <w:szCs w:val="22"/>
        </w:rPr>
        <w:t xml:space="preserve">. Linear mixed model (LMM) describing FEV1% as a function of time between two PEX treatment response groups, sustained responders (SRs, n = 10) and non-sustained responders (NSRs, n = 10). C.I. = confidence interval. Number of observations = 62. Number of subjects = 20. Observations per group: minimum = 1, maximum = 7, average = 3.1. </w:t>
      </w: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6030"/>
        <w:gridCol w:w="1890"/>
        <w:gridCol w:w="1964"/>
        <w:gridCol w:w="1091"/>
      </w:tblGrid>
      <w:tr w:rsidR="00C45EF1" w:rsidRPr="00514BDD" w:rsidTr="005A0AC0">
        <w:trPr>
          <w:trHeight w:val="386"/>
          <w:jc w:val="center"/>
        </w:trPr>
        <w:tc>
          <w:tcPr>
            <w:tcW w:w="60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lastRenderedPageBreak/>
              <w:t>Model Parameter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t>Coefficient (β)</w:t>
            </w:r>
          </w:p>
        </w:tc>
        <w:tc>
          <w:tcPr>
            <w:tcW w:w="19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t>95% C</w:t>
            </w:r>
            <w:r>
              <w:rPr>
                <w:rFonts w:ascii="Arial" w:hAnsi="Arial" w:cs="Arial"/>
                <w:b/>
                <w:szCs w:val="22"/>
              </w:rPr>
              <w:t>.</w:t>
            </w:r>
            <w:r w:rsidRPr="00514BDD">
              <w:rPr>
                <w:rFonts w:ascii="Arial" w:hAnsi="Arial" w:cs="Arial"/>
                <w:b/>
                <w:szCs w:val="22"/>
              </w:rPr>
              <w:t>I</w:t>
            </w:r>
            <w:r>
              <w:rPr>
                <w:rFonts w:ascii="Arial" w:hAnsi="Arial" w:cs="Arial"/>
                <w:b/>
                <w:szCs w:val="22"/>
              </w:rPr>
              <w:t>.</w:t>
            </w:r>
            <w:r w:rsidRPr="00514BDD">
              <w:rPr>
                <w:rFonts w:ascii="Arial" w:hAnsi="Arial" w:cs="Arial"/>
                <w:b/>
                <w:szCs w:val="22"/>
              </w:rPr>
              <w:t xml:space="preserve"> (β)</w:t>
            </w:r>
          </w:p>
        </w:tc>
        <w:tc>
          <w:tcPr>
            <w:tcW w:w="10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t>p-value</w:t>
            </w:r>
          </w:p>
        </w:tc>
      </w:tr>
      <w:tr w:rsidR="00C45EF1" w:rsidRPr="00433C9B" w:rsidTr="005A0AC0">
        <w:trPr>
          <w:jc w:val="center"/>
        </w:trPr>
        <w:tc>
          <w:tcPr>
            <w:tcW w:w="603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6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5EF1" w:rsidRPr="00433C9B" w:rsidTr="005A0AC0">
        <w:trPr>
          <w:trHeight w:val="360"/>
          <w:jc w:val="center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Linear Interaction term (Group • days)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0.052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-0.003, 0.108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0.06</w:t>
            </w:r>
          </w:p>
        </w:tc>
      </w:tr>
      <w:tr w:rsidR="00C45EF1" w:rsidRPr="00433C9B" w:rsidTr="005A0AC0">
        <w:trPr>
          <w:trHeight w:val="360"/>
          <w:jc w:val="center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  <w:r w:rsidRPr="00433C9B">
              <w:rPr>
                <w:rFonts w:ascii="Arial" w:hAnsi="Arial" w:cs="Arial"/>
                <w:szCs w:val="22"/>
              </w:rPr>
              <w:t>Quadratic Time After PEX Onset (</w:t>
            </w:r>
            <w:r>
              <w:rPr>
                <w:rFonts w:ascii="Arial" w:hAnsi="Arial" w:cs="Arial"/>
                <w:szCs w:val="22"/>
              </w:rPr>
              <w:t>days</w:t>
            </w:r>
            <w:r>
              <w:rPr>
                <w:rFonts w:ascii="Arial" w:hAnsi="Arial" w:cs="Arial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0.006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0.002, 0.011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0.007</w:t>
            </w:r>
          </w:p>
        </w:tc>
      </w:tr>
      <w:tr w:rsidR="00C45EF1" w:rsidRPr="00433C9B" w:rsidTr="005A0AC0">
        <w:trPr>
          <w:trHeight w:val="360"/>
          <w:jc w:val="center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rPr>
                <w:rFonts w:ascii="Arial" w:hAnsi="Arial" w:cs="Arial"/>
                <w:szCs w:val="22"/>
              </w:rPr>
            </w:pPr>
            <w:r w:rsidRPr="00433C9B">
              <w:rPr>
                <w:rFonts w:ascii="Arial" w:hAnsi="Arial" w:cs="Arial"/>
                <w:szCs w:val="22"/>
              </w:rPr>
              <w:t>Linear Time After PEX Onset (days)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-0.14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-0.19, -0.08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&lt;0.0001</w:t>
            </w:r>
          </w:p>
        </w:tc>
      </w:tr>
      <w:tr w:rsidR="00C45EF1" w:rsidRPr="00433C9B" w:rsidTr="005A0AC0">
        <w:trPr>
          <w:trHeight w:val="360"/>
          <w:jc w:val="center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  <w:r w:rsidRPr="00433C9B">
              <w:rPr>
                <w:rFonts w:ascii="Arial" w:hAnsi="Arial" w:cs="Arial"/>
                <w:szCs w:val="22"/>
              </w:rPr>
              <w:t xml:space="preserve">Difference </w:t>
            </w:r>
            <w:r>
              <w:rPr>
                <w:rFonts w:ascii="Arial" w:hAnsi="Arial" w:cs="Arial"/>
                <w:szCs w:val="22"/>
              </w:rPr>
              <w:t xml:space="preserve">in ln(Serum IL-6) </w:t>
            </w:r>
            <w:r w:rsidRPr="00433C9B">
              <w:rPr>
                <w:rFonts w:ascii="Arial" w:hAnsi="Arial" w:cs="Arial"/>
                <w:szCs w:val="22"/>
              </w:rPr>
              <w:t>at PEX Onset</w:t>
            </w:r>
            <w:r>
              <w:rPr>
                <w:rFonts w:ascii="Arial" w:hAnsi="Arial" w:cs="Arial"/>
                <w:szCs w:val="22"/>
              </w:rPr>
              <w:t xml:space="preserve"> (NSR - SR)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EF1" w:rsidRPr="00B4097E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 w:rsidRPr="00B4097E">
              <w:rPr>
                <w:rFonts w:ascii="Arial" w:hAnsi="Arial" w:cs="Arial"/>
                <w:szCs w:val="22"/>
              </w:rPr>
              <w:t>-0.01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EF1" w:rsidRPr="00B4097E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 w:rsidRPr="00B4097E">
              <w:rPr>
                <w:rFonts w:ascii="Arial" w:hAnsi="Arial" w:cs="Arial"/>
                <w:szCs w:val="22"/>
              </w:rPr>
              <w:t>-0.57, 0.54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EF1" w:rsidRPr="00B4097E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 w:rsidRPr="00B4097E">
              <w:rPr>
                <w:rFonts w:ascii="Arial" w:hAnsi="Arial" w:cs="Arial"/>
                <w:szCs w:val="22"/>
              </w:rPr>
              <w:t>0.96</w:t>
            </w:r>
          </w:p>
        </w:tc>
      </w:tr>
      <w:tr w:rsidR="00C45EF1" w:rsidRPr="00433C9B" w:rsidTr="005A0AC0">
        <w:trPr>
          <w:trHeight w:val="360"/>
          <w:jc w:val="center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Constant [ln(Serum IL-6)]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1.69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1.28, 2.10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&lt;0.0001</w:t>
            </w:r>
          </w:p>
        </w:tc>
      </w:tr>
      <w:tr w:rsidR="00C45EF1" w:rsidRPr="00433C9B" w:rsidTr="005A0AC0">
        <w:trPr>
          <w:jc w:val="center"/>
        </w:trPr>
        <w:tc>
          <w:tcPr>
            <w:tcW w:w="603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S4</w:t>
      </w:r>
      <w:r>
        <w:rPr>
          <w:rFonts w:ascii="Arial" w:hAnsi="Arial" w:cs="Arial"/>
          <w:sz w:val="22"/>
          <w:szCs w:val="22"/>
        </w:rPr>
        <w:t xml:space="preserve">.  Linear mixed model (LMM) describing </w:t>
      </w:r>
      <w:proofErr w:type="gramStart"/>
      <w:r>
        <w:rPr>
          <w:rFonts w:ascii="Arial" w:hAnsi="Arial" w:cs="Arial"/>
          <w:sz w:val="22"/>
          <w:szCs w:val="22"/>
        </w:rPr>
        <w:t>ln(</w:t>
      </w:r>
      <w:proofErr w:type="gramEnd"/>
      <w:r>
        <w:rPr>
          <w:rFonts w:ascii="Arial" w:hAnsi="Arial" w:cs="Arial"/>
          <w:sz w:val="22"/>
          <w:szCs w:val="22"/>
        </w:rPr>
        <w:t xml:space="preserve">serum IL-6) over time between two PEX treatment response groups, sustained responders (SRs, n = 10) and non-sustained responders (NSRs, n = 10). C.I. = confidence interval. Number of observations = 98. Number of subjects = 20. Observations per group: minimum = 3, maximum = 8, average = 4.9. </w:t>
      </w: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610" w:type="dxa"/>
        <w:jc w:val="center"/>
        <w:tblLook w:val="04A0" w:firstRow="1" w:lastRow="0" w:firstColumn="1" w:lastColumn="0" w:noHBand="0" w:noVBand="1"/>
      </w:tblPr>
      <w:tblGrid>
        <w:gridCol w:w="6840"/>
        <w:gridCol w:w="1890"/>
        <w:gridCol w:w="1620"/>
        <w:gridCol w:w="1260"/>
      </w:tblGrid>
      <w:tr w:rsidR="00C45EF1" w:rsidRPr="00514BDD" w:rsidTr="005A0AC0">
        <w:trPr>
          <w:trHeight w:val="386"/>
          <w:jc w:val="center"/>
        </w:trPr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lastRenderedPageBreak/>
              <w:t>Model Parameter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t>Coefficient (β)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t>95% C</w:t>
            </w:r>
            <w:r>
              <w:rPr>
                <w:rFonts w:ascii="Arial" w:hAnsi="Arial" w:cs="Arial"/>
                <w:b/>
                <w:szCs w:val="22"/>
              </w:rPr>
              <w:t>.</w:t>
            </w:r>
            <w:r w:rsidRPr="00514BDD">
              <w:rPr>
                <w:rFonts w:ascii="Arial" w:hAnsi="Arial" w:cs="Arial"/>
                <w:b/>
                <w:szCs w:val="22"/>
              </w:rPr>
              <w:t>I</w:t>
            </w:r>
            <w:r>
              <w:rPr>
                <w:rFonts w:ascii="Arial" w:hAnsi="Arial" w:cs="Arial"/>
                <w:b/>
                <w:szCs w:val="22"/>
              </w:rPr>
              <w:t>.</w:t>
            </w:r>
            <w:r w:rsidRPr="00514BDD">
              <w:rPr>
                <w:rFonts w:ascii="Arial" w:hAnsi="Arial" w:cs="Arial"/>
                <w:b/>
                <w:szCs w:val="22"/>
              </w:rPr>
              <w:t xml:space="preserve"> (β)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t>p-value</w:t>
            </w:r>
          </w:p>
        </w:tc>
      </w:tr>
      <w:tr w:rsidR="00C45EF1" w:rsidRPr="00433C9B" w:rsidTr="005A0AC0">
        <w:trPr>
          <w:jc w:val="center"/>
        </w:trPr>
        <w:tc>
          <w:tcPr>
            <w:tcW w:w="684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5EF1" w:rsidRPr="00433C9B" w:rsidTr="005A0AC0">
        <w:trPr>
          <w:trHeight w:val="360"/>
          <w:jc w:val="center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Linear Interaction term (Group • days)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-0.01, 0.09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0.09</w:t>
            </w:r>
          </w:p>
        </w:tc>
      </w:tr>
      <w:tr w:rsidR="00C45EF1" w:rsidRPr="00433C9B" w:rsidTr="005A0AC0">
        <w:trPr>
          <w:trHeight w:val="360"/>
          <w:jc w:val="center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  <w:r w:rsidRPr="00433C9B">
              <w:rPr>
                <w:rFonts w:ascii="Arial" w:hAnsi="Arial" w:cs="Arial"/>
                <w:szCs w:val="22"/>
              </w:rPr>
              <w:t>Quadratic Time After PEX Onset (</w:t>
            </w:r>
            <w:r>
              <w:rPr>
                <w:rFonts w:ascii="Arial" w:hAnsi="Arial" w:cs="Arial"/>
                <w:szCs w:val="22"/>
              </w:rPr>
              <w:t>days</w:t>
            </w:r>
            <w:r>
              <w:rPr>
                <w:rFonts w:ascii="Arial" w:hAnsi="Arial" w:cs="Arial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0.002, 0.010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0.007</w:t>
            </w:r>
          </w:p>
        </w:tc>
      </w:tr>
      <w:tr w:rsidR="00C45EF1" w:rsidRPr="00433C9B" w:rsidTr="005A0AC0">
        <w:trPr>
          <w:trHeight w:val="360"/>
          <w:jc w:val="center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rPr>
                <w:rFonts w:ascii="Arial" w:hAnsi="Arial" w:cs="Arial"/>
                <w:szCs w:val="22"/>
              </w:rPr>
            </w:pPr>
            <w:r w:rsidRPr="00433C9B">
              <w:rPr>
                <w:rFonts w:ascii="Arial" w:hAnsi="Arial" w:cs="Arial"/>
                <w:szCs w:val="22"/>
              </w:rPr>
              <w:t>Linear Time After PEX Onset (days)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-0.13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-0.18, -0.08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&lt;0.0001</w:t>
            </w:r>
          </w:p>
        </w:tc>
      </w:tr>
      <w:tr w:rsidR="00C45EF1" w:rsidRPr="00433C9B" w:rsidTr="005A0AC0">
        <w:trPr>
          <w:trHeight w:val="360"/>
          <w:jc w:val="center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  <w:r w:rsidRPr="00433C9B">
              <w:rPr>
                <w:rFonts w:ascii="Arial" w:hAnsi="Arial" w:cs="Arial"/>
                <w:szCs w:val="22"/>
              </w:rPr>
              <w:t xml:space="preserve">Difference </w:t>
            </w:r>
            <w:r>
              <w:rPr>
                <w:rFonts w:ascii="Arial" w:hAnsi="Arial" w:cs="Arial"/>
                <w:szCs w:val="22"/>
              </w:rPr>
              <w:t xml:space="preserve">in ln(Serum hepcidin-25) </w:t>
            </w:r>
            <w:r w:rsidRPr="00433C9B">
              <w:rPr>
                <w:rFonts w:ascii="Arial" w:hAnsi="Arial" w:cs="Arial"/>
                <w:szCs w:val="22"/>
              </w:rPr>
              <w:t>at PEX Onset</w:t>
            </w:r>
            <w:r>
              <w:rPr>
                <w:rFonts w:ascii="Arial" w:hAnsi="Arial" w:cs="Arial"/>
                <w:szCs w:val="22"/>
              </w:rPr>
              <w:t xml:space="preserve"> (NSR - SR)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EF1" w:rsidRPr="002A5CDC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-0.24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EF1" w:rsidRPr="002A5CDC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-0.75, 0.28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EF1" w:rsidRPr="002A5CDC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0.37</w:t>
            </w:r>
          </w:p>
        </w:tc>
      </w:tr>
      <w:tr w:rsidR="00C45EF1" w:rsidRPr="00433C9B" w:rsidTr="005A0AC0">
        <w:trPr>
          <w:trHeight w:val="360"/>
          <w:jc w:val="center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Constant [ln(Serum hepcidin-25)]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3.49, 4.25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&lt;0.0001</w:t>
            </w:r>
          </w:p>
        </w:tc>
      </w:tr>
      <w:tr w:rsidR="00C45EF1" w:rsidRPr="00433C9B" w:rsidTr="005A0AC0">
        <w:trPr>
          <w:jc w:val="center"/>
        </w:trPr>
        <w:tc>
          <w:tcPr>
            <w:tcW w:w="68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S5</w:t>
      </w:r>
      <w:r>
        <w:rPr>
          <w:rFonts w:ascii="Arial" w:hAnsi="Arial" w:cs="Arial"/>
          <w:sz w:val="22"/>
          <w:szCs w:val="22"/>
        </w:rPr>
        <w:t xml:space="preserve">. Linear mixed model (LMM) describing </w:t>
      </w:r>
      <w:proofErr w:type="gramStart"/>
      <w:r>
        <w:rPr>
          <w:rFonts w:ascii="Arial" w:hAnsi="Arial" w:cs="Arial"/>
          <w:sz w:val="22"/>
          <w:szCs w:val="22"/>
        </w:rPr>
        <w:t>ln(</w:t>
      </w:r>
      <w:proofErr w:type="gramEnd"/>
      <w:r>
        <w:rPr>
          <w:rFonts w:ascii="Arial" w:hAnsi="Arial" w:cs="Arial"/>
          <w:sz w:val="22"/>
          <w:szCs w:val="22"/>
        </w:rPr>
        <w:t xml:space="preserve">serum hepcidin-25) over time between two PEX treatment response groups, sustained responders (SRs, n = 10) and non-sustained responders (NSRs, n = 10). C.I. = confidence interval. Number of observations = 98. Number of subjects = 20. Observations per group: minimum = 3, maximum = 8, average = 4.9. </w:t>
      </w: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6022"/>
        <w:gridCol w:w="1799"/>
        <w:gridCol w:w="2158"/>
        <w:gridCol w:w="1091"/>
      </w:tblGrid>
      <w:tr w:rsidR="00C45EF1" w:rsidRPr="00514BDD" w:rsidTr="003934C1">
        <w:trPr>
          <w:trHeight w:val="386"/>
          <w:jc w:val="center"/>
        </w:trPr>
        <w:tc>
          <w:tcPr>
            <w:tcW w:w="60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lastRenderedPageBreak/>
              <w:t>Model Parameter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t>Coefficient (β)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t>95% C</w:t>
            </w:r>
            <w:r>
              <w:rPr>
                <w:rFonts w:ascii="Arial" w:hAnsi="Arial" w:cs="Arial"/>
                <w:b/>
                <w:szCs w:val="22"/>
              </w:rPr>
              <w:t>.</w:t>
            </w:r>
            <w:r w:rsidRPr="00514BDD">
              <w:rPr>
                <w:rFonts w:ascii="Arial" w:hAnsi="Arial" w:cs="Arial"/>
                <w:b/>
                <w:szCs w:val="22"/>
              </w:rPr>
              <w:t>I</w:t>
            </w:r>
            <w:r>
              <w:rPr>
                <w:rFonts w:ascii="Arial" w:hAnsi="Arial" w:cs="Arial"/>
                <w:b/>
                <w:szCs w:val="22"/>
              </w:rPr>
              <w:t>.</w:t>
            </w:r>
            <w:r w:rsidRPr="00514BDD">
              <w:rPr>
                <w:rFonts w:ascii="Arial" w:hAnsi="Arial" w:cs="Arial"/>
                <w:b/>
                <w:szCs w:val="22"/>
              </w:rPr>
              <w:t xml:space="preserve"> (β)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t>p-value</w:t>
            </w:r>
          </w:p>
        </w:tc>
      </w:tr>
      <w:tr w:rsidR="00C45EF1" w:rsidRPr="00433C9B" w:rsidTr="003934C1">
        <w:trPr>
          <w:jc w:val="center"/>
        </w:trPr>
        <w:tc>
          <w:tcPr>
            <w:tcW w:w="603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5EF1" w:rsidRPr="00433C9B" w:rsidTr="003934C1">
        <w:trPr>
          <w:trHeight w:val="360"/>
          <w:jc w:val="center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Quadratic Interaction term (Group • days</w:t>
            </w:r>
            <w:r w:rsidRPr="006E500B">
              <w:rPr>
                <w:rFonts w:ascii="Arial" w:hAnsi="Arial" w:cs="Arial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-0.006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-0.011, -0.0004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0.04</w:t>
            </w:r>
          </w:p>
        </w:tc>
      </w:tr>
      <w:tr w:rsidR="00C45EF1" w:rsidRPr="00433C9B" w:rsidTr="003934C1">
        <w:trPr>
          <w:trHeight w:val="360"/>
          <w:jc w:val="center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Linear Interaction term (Group • days)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-0.02, 0.07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0.36</w:t>
            </w:r>
          </w:p>
        </w:tc>
      </w:tr>
      <w:tr w:rsidR="00C45EF1" w:rsidRPr="00433C9B" w:rsidTr="003934C1">
        <w:trPr>
          <w:trHeight w:val="360"/>
          <w:jc w:val="center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  <w:r w:rsidRPr="00433C9B">
              <w:rPr>
                <w:rFonts w:ascii="Arial" w:hAnsi="Arial" w:cs="Arial"/>
                <w:szCs w:val="22"/>
              </w:rPr>
              <w:t>Quadratic Time After PEX Onset (</w:t>
            </w:r>
            <w:r>
              <w:rPr>
                <w:rFonts w:ascii="Arial" w:hAnsi="Arial" w:cs="Arial"/>
                <w:szCs w:val="22"/>
              </w:rPr>
              <w:t>days</w:t>
            </w:r>
            <w:r>
              <w:rPr>
                <w:rFonts w:ascii="Arial" w:hAnsi="Arial" w:cs="Arial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-0.026, 0.004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0.68</w:t>
            </w:r>
          </w:p>
        </w:tc>
      </w:tr>
      <w:tr w:rsidR="00C45EF1" w:rsidRPr="00433C9B" w:rsidTr="003934C1">
        <w:trPr>
          <w:trHeight w:val="360"/>
          <w:jc w:val="center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rPr>
                <w:rFonts w:ascii="Arial" w:hAnsi="Arial" w:cs="Arial"/>
                <w:szCs w:val="22"/>
              </w:rPr>
            </w:pPr>
            <w:r w:rsidRPr="00433C9B">
              <w:rPr>
                <w:rFonts w:ascii="Arial" w:hAnsi="Arial" w:cs="Arial"/>
                <w:szCs w:val="22"/>
              </w:rPr>
              <w:t>Linear Time After PEX Onset (days)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0.002, 0.066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0.04</w:t>
            </w:r>
          </w:p>
        </w:tc>
      </w:tr>
      <w:tr w:rsidR="00C45EF1" w:rsidRPr="00433C9B" w:rsidTr="003934C1">
        <w:trPr>
          <w:trHeight w:val="360"/>
          <w:jc w:val="center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  <w:r w:rsidRPr="00433C9B">
              <w:rPr>
                <w:rFonts w:ascii="Arial" w:hAnsi="Arial" w:cs="Arial"/>
                <w:szCs w:val="22"/>
              </w:rPr>
              <w:t xml:space="preserve">Difference </w:t>
            </w:r>
            <w:r>
              <w:rPr>
                <w:rFonts w:ascii="Arial" w:hAnsi="Arial" w:cs="Arial"/>
                <w:szCs w:val="22"/>
              </w:rPr>
              <w:t xml:space="preserve">in ln(Serum iron) </w:t>
            </w:r>
            <w:r w:rsidRPr="00433C9B">
              <w:rPr>
                <w:rFonts w:ascii="Arial" w:hAnsi="Arial" w:cs="Arial"/>
                <w:szCs w:val="22"/>
              </w:rPr>
              <w:t>at PEX Onset</w:t>
            </w:r>
            <w:r>
              <w:rPr>
                <w:rFonts w:ascii="Arial" w:hAnsi="Arial" w:cs="Arial"/>
                <w:szCs w:val="22"/>
              </w:rPr>
              <w:t xml:space="preserve"> (NSR - SR)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-0.10, 0.75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0.14</w:t>
            </w:r>
          </w:p>
        </w:tc>
      </w:tr>
      <w:tr w:rsidR="00C45EF1" w:rsidRPr="00433C9B" w:rsidTr="003934C1">
        <w:trPr>
          <w:trHeight w:val="360"/>
          <w:jc w:val="center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Constant [ln(Serum iron)]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3.14, 3.73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&lt;0.0001</w:t>
            </w:r>
          </w:p>
        </w:tc>
      </w:tr>
      <w:tr w:rsidR="00C45EF1" w:rsidRPr="00433C9B" w:rsidTr="003934C1">
        <w:trPr>
          <w:jc w:val="center"/>
        </w:trPr>
        <w:tc>
          <w:tcPr>
            <w:tcW w:w="603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S6</w:t>
      </w:r>
      <w:r>
        <w:rPr>
          <w:rFonts w:ascii="Arial" w:hAnsi="Arial" w:cs="Arial"/>
          <w:sz w:val="22"/>
          <w:szCs w:val="22"/>
        </w:rPr>
        <w:t xml:space="preserve">. Linear mixed model (LMM) describing </w:t>
      </w:r>
      <w:proofErr w:type="gramStart"/>
      <w:r>
        <w:rPr>
          <w:rFonts w:ascii="Arial" w:hAnsi="Arial" w:cs="Arial"/>
          <w:sz w:val="22"/>
          <w:szCs w:val="22"/>
        </w:rPr>
        <w:t>ln(</w:t>
      </w:r>
      <w:proofErr w:type="gramEnd"/>
      <w:r>
        <w:rPr>
          <w:rFonts w:ascii="Arial" w:hAnsi="Arial" w:cs="Arial"/>
          <w:sz w:val="22"/>
          <w:szCs w:val="22"/>
        </w:rPr>
        <w:t xml:space="preserve">Serum iron) over time between two PEX treatment response groups, sustained responders (SRs, n = 10) and non-sustained responders (NSRs, n = 10). C.I. = confidence interval. Number of observations = 98. Number of subjects = 20. Observations per group: minimum = 3, maximum = 8, average = 4.9. </w:t>
      </w: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160" w:type="dxa"/>
        <w:jc w:val="center"/>
        <w:tblLook w:val="04A0" w:firstRow="1" w:lastRow="0" w:firstColumn="1" w:lastColumn="0" w:noHBand="0" w:noVBand="1"/>
      </w:tblPr>
      <w:tblGrid>
        <w:gridCol w:w="5850"/>
        <w:gridCol w:w="1890"/>
        <w:gridCol w:w="2250"/>
        <w:gridCol w:w="1170"/>
      </w:tblGrid>
      <w:tr w:rsidR="00C45EF1" w:rsidRPr="00514BDD" w:rsidTr="003934C1">
        <w:trPr>
          <w:trHeight w:val="386"/>
          <w:jc w:val="center"/>
        </w:trPr>
        <w:tc>
          <w:tcPr>
            <w:tcW w:w="58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lastRenderedPageBreak/>
              <w:t>Model Parameter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t>Coefficient (β)</w:t>
            </w: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t>95% C</w:t>
            </w:r>
            <w:r>
              <w:rPr>
                <w:rFonts w:ascii="Arial" w:hAnsi="Arial" w:cs="Arial"/>
                <w:b/>
                <w:szCs w:val="22"/>
              </w:rPr>
              <w:t>.</w:t>
            </w:r>
            <w:r w:rsidRPr="00514BDD">
              <w:rPr>
                <w:rFonts w:ascii="Arial" w:hAnsi="Arial" w:cs="Arial"/>
                <w:b/>
                <w:szCs w:val="22"/>
              </w:rPr>
              <w:t>I</w:t>
            </w:r>
            <w:r>
              <w:rPr>
                <w:rFonts w:ascii="Arial" w:hAnsi="Arial" w:cs="Arial"/>
                <w:b/>
                <w:szCs w:val="22"/>
              </w:rPr>
              <w:t>.</w:t>
            </w:r>
            <w:r w:rsidRPr="00514BDD">
              <w:rPr>
                <w:rFonts w:ascii="Arial" w:hAnsi="Arial" w:cs="Arial"/>
                <w:b/>
                <w:szCs w:val="22"/>
              </w:rPr>
              <w:t xml:space="preserve"> (β)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514BDD" w:rsidRDefault="00C45EF1" w:rsidP="00B26A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BDD">
              <w:rPr>
                <w:rFonts w:ascii="Arial" w:hAnsi="Arial" w:cs="Arial"/>
                <w:b/>
                <w:szCs w:val="22"/>
              </w:rPr>
              <w:t>p-value</w:t>
            </w:r>
          </w:p>
        </w:tc>
      </w:tr>
      <w:tr w:rsidR="00C45EF1" w:rsidRPr="00433C9B" w:rsidTr="003934C1">
        <w:trPr>
          <w:jc w:val="center"/>
        </w:trPr>
        <w:tc>
          <w:tcPr>
            <w:tcW w:w="585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5EF1" w:rsidRPr="00433C9B" w:rsidTr="003934C1">
        <w:trPr>
          <w:trHeight w:val="360"/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Quadratic Interaction term (Group • days</w:t>
            </w:r>
            <w:r w:rsidRPr="006E500B">
              <w:rPr>
                <w:rFonts w:ascii="Arial" w:hAnsi="Arial" w:cs="Arial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17, 48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&lt;0.0001</w:t>
            </w:r>
          </w:p>
        </w:tc>
      </w:tr>
      <w:tr w:rsidR="00C45EF1" w:rsidRPr="00433C9B" w:rsidTr="003934C1">
        <w:trPr>
          <w:trHeight w:val="360"/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Linear Interaction term (Group • days)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-132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-264, 1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0.05</w:t>
            </w:r>
          </w:p>
        </w:tc>
      </w:tr>
      <w:tr w:rsidR="00C45EF1" w:rsidRPr="00433C9B" w:rsidTr="003934C1">
        <w:trPr>
          <w:trHeight w:val="360"/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rPr>
                <w:rFonts w:ascii="Arial" w:hAnsi="Arial" w:cs="Arial"/>
                <w:szCs w:val="22"/>
              </w:rPr>
            </w:pPr>
            <w:r w:rsidRPr="00433C9B">
              <w:rPr>
                <w:rFonts w:ascii="Arial" w:hAnsi="Arial" w:cs="Arial"/>
                <w:szCs w:val="22"/>
              </w:rPr>
              <w:t>Linear Time After PEX Onset (days)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-100, 82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0.85</w:t>
            </w:r>
          </w:p>
        </w:tc>
      </w:tr>
      <w:tr w:rsidR="00C45EF1" w:rsidRPr="00433C9B" w:rsidTr="003934C1">
        <w:trPr>
          <w:trHeight w:val="360"/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rPr>
                <w:rFonts w:ascii="Arial" w:hAnsi="Arial" w:cs="Arial"/>
                <w:szCs w:val="22"/>
              </w:rPr>
            </w:pPr>
            <w:r w:rsidRPr="00433C9B">
              <w:rPr>
                <w:rFonts w:ascii="Arial" w:hAnsi="Arial" w:cs="Arial"/>
                <w:szCs w:val="22"/>
              </w:rPr>
              <w:t>Quadratic Time After PEX Onset (</w:t>
            </w:r>
            <w:r>
              <w:rPr>
                <w:rFonts w:ascii="Arial" w:hAnsi="Arial" w:cs="Arial"/>
                <w:szCs w:val="22"/>
              </w:rPr>
              <w:t>days</w:t>
            </w:r>
            <w:r>
              <w:rPr>
                <w:rFonts w:ascii="Arial" w:hAnsi="Arial" w:cs="Arial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-10, 7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0.72</w:t>
            </w:r>
          </w:p>
        </w:tc>
      </w:tr>
      <w:tr w:rsidR="00C45EF1" w:rsidRPr="00433C9B" w:rsidTr="003934C1">
        <w:trPr>
          <w:trHeight w:val="360"/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  <w:r w:rsidRPr="00433C9B">
              <w:rPr>
                <w:rFonts w:ascii="Arial" w:hAnsi="Arial" w:cs="Arial"/>
                <w:szCs w:val="22"/>
              </w:rPr>
              <w:t xml:space="preserve">Difference </w:t>
            </w:r>
            <w:r>
              <w:rPr>
                <w:rFonts w:ascii="Arial" w:hAnsi="Arial" w:cs="Arial"/>
                <w:szCs w:val="22"/>
              </w:rPr>
              <w:t xml:space="preserve">in sputum iron </w:t>
            </w:r>
            <w:r w:rsidRPr="00433C9B">
              <w:rPr>
                <w:rFonts w:ascii="Arial" w:hAnsi="Arial" w:cs="Arial"/>
                <w:szCs w:val="22"/>
              </w:rPr>
              <w:t>at PEX Onset</w:t>
            </w:r>
            <w:r>
              <w:rPr>
                <w:rFonts w:ascii="Arial" w:hAnsi="Arial" w:cs="Arial"/>
                <w:szCs w:val="22"/>
              </w:rPr>
              <w:t xml:space="preserve"> (NSR - SR)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-343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-1,425, 739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0.53</w:t>
            </w:r>
          </w:p>
        </w:tc>
      </w:tr>
      <w:tr w:rsidR="00C45EF1" w:rsidRPr="00433C9B" w:rsidTr="003934C1">
        <w:trPr>
          <w:trHeight w:val="360"/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Constant (sputum iron)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2200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1500, 3000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Pr="00433C9B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&lt;0.0001</w:t>
            </w:r>
          </w:p>
        </w:tc>
      </w:tr>
      <w:tr w:rsidR="00C45EF1" w:rsidRPr="00433C9B" w:rsidTr="003934C1">
        <w:trPr>
          <w:jc w:val="center"/>
        </w:trPr>
        <w:tc>
          <w:tcPr>
            <w:tcW w:w="58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S7</w:t>
      </w:r>
      <w:r>
        <w:rPr>
          <w:rFonts w:ascii="Arial" w:hAnsi="Arial" w:cs="Arial"/>
          <w:sz w:val="22"/>
          <w:szCs w:val="22"/>
        </w:rPr>
        <w:t xml:space="preserve">. Linear mixed model (LMM) describing sputum iron (ng/mg of sputum) over time between two PEX treatment response groups, sustained responders (SRs, n = 10) and non-sustained responders (NSRs, n = 10). C.I. = confidence interval. Number of observations = 63. Number of subjects = 18. Observations per group: minimum = 1, maximum = 7, average = 3.5. </w:t>
      </w: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tbl>
      <w:tblPr>
        <w:tblpPr w:leftFromText="187" w:rightFromText="187" w:horzAnchor="margin" w:tblpXSpec="center" w:tblpY="1"/>
        <w:tblOverlap w:val="never"/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5015"/>
      </w:tblGrid>
      <w:tr w:rsidR="00C45EF1" w:rsidRPr="004318EE" w:rsidTr="003934C1">
        <w:trPr>
          <w:trHeight w:val="440"/>
        </w:trPr>
        <w:tc>
          <w:tcPr>
            <w:tcW w:w="30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934C1">
              <w:rPr>
                <w:rFonts w:ascii="Arial" w:hAnsi="Arial" w:cs="Arial"/>
                <w:b/>
                <w:sz w:val="22"/>
                <w:szCs w:val="20"/>
              </w:rPr>
              <w:lastRenderedPageBreak/>
              <w:t>Parameter</w:t>
            </w:r>
          </w:p>
        </w:tc>
        <w:tc>
          <w:tcPr>
            <w:tcW w:w="50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</w:pPr>
            <w:r w:rsidRPr="003934C1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Interpretation</w:t>
            </w:r>
          </w:p>
        </w:tc>
      </w:tr>
      <w:tr w:rsidR="00C45EF1" w:rsidRPr="004318EE" w:rsidTr="003934C1">
        <w:trPr>
          <w:trHeight w:val="146"/>
        </w:trPr>
        <w:tc>
          <w:tcPr>
            <w:tcW w:w="30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1A43AC" w:rsidRDefault="00C45EF1" w:rsidP="00B26A8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01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1A43AC" w:rsidRDefault="00C45EF1" w:rsidP="00B26A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</w:p>
        </w:tc>
      </w:tr>
      <w:tr w:rsidR="00C45EF1" w:rsidRPr="004318EE" w:rsidTr="003934C1">
        <w:trPr>
          <w:trHeight w:val="3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rPr>
                <w:rFonts w:ascii="Arial" w:hAnsi="Arial" w:cs="Arial"/>
                <w:sz w:val="22"/>
                <w:szCs w:val="18"/>
              </w:rPr>
            </w:pPr>
            <w:r w:rsidRPr="003934C1">
              <w:rPr>
                <w:rFonts w:ascii="Arial" w:hAnsi="Arial" w:cs="Arial"/>
                <w:sz w:val="22"/>
                <w:szCs w:val="18"/>
              </w:rPr>
              <w:t>Hemoglobin, gm/dl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3934C1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No between-cohort difference</w:t>
            </w:r>
          </w:p>
        </w:tc>
      </w:tr>
      <w:tr w:rsidR="00C45EF1" w:rsidRPr="004318EE" w:rsidTr="003934C1">
        <w:trPr>
          <w:trHeight w:val="3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rPr>
                <w:rFonts w:ascii="Arial" w:hAnsi="Arial" w:cs="Arial"/>
                <w:sz w:val="22"/>
                <w:szCs w:val="18"/>
              </w:rPr>
            </w:pPr>
            <w:r w:rsidRPr="003934C1">
              <w:rPr>
                <w:rFonts w:ascii="Arial" w:hAnsi="Arial" w:cs="Arial"/>
                <w:sz w:val="22"/>
                <w:szCs w:val="18"/>
              </w:rPr>
              <w:t>Hematocrit, %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3934C1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No between-cohort difference</w:t>
            </w:r>
          </w:p>
        </w:tc>
      </w:tr>
      <w:tr w:rsidR="00C45EF1" w:rsidRPr="004318EE" w:rsidTr="003934C1">
        <w:trPr>
          <w:trHeight w:val="3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rPr>
                <w:rFonts w:ascii="Arial" w:hAnsi="Arial" w:cs="Arial"/>
                <w:sz w:val="22"/>
                <w:szCs w:val="18"/>
              </w:rPr>
            </w:pPr>
            <w:r w:rsidRPr="003934C1">
              <w:rPr>
                <w:rFonts w:ascii="Arial" w:hAnsi="Arial" w:cs="Arial"/>
                <w:sz w:val="22"/>
                <w:szCs w:val="18"/>
              </w:rPr>
              <w:t xml:space="preserve">RDWSD, </w:t>
            </w:r>
            <w:proofErr w:type="spellStart"/>
            <w:r w:rsidRPr="003934C1">
              <w:rPr>
                <w:rFonts w:ascii="Arial" w:hAnsi="Arial" w:cs="Arial"/>
                <w:sz w:val="22"/>
                <w:szCs w:val="18"/>
              </w:rPr>
              <w:t>fl</w:t>
            </w:r>
            <w:proofErr w:type="spellEnd"/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3934C1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No between-cohort difference</w:t>
            </w:r>
          </w:p>
        </w:tc>
      </w:tr>
      <w:tr w:rsidR="00C45EF1" w:rsidRPr="004318EE" w:rsidTr="003934C1">
        <w:trPr>
          <w:trHeight w:val="3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rPr>
                <w:rFonts w:ascii="Arial" w:hAnsi="Arial" w:cs="Arial"/>
                <w:sz w:val="22"/>
                <w:szCs w:val="18"/>
              </w:rPr>
            </w:pPr>
            <w:r w:rsidRPr="003934C1">
              <w:rPr>
                <w:rFonts w:ascii="Arial" w:hAnsi="Arial" w:cs="Arial"/>
                <w:sz w:val="22"/>
                <w:szCs w:val="18"/>
              </w:rPr>
              <w:t>RDWCV, %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3934C1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Different time trends between cohorts</w:t>
            </w:r>
          </w:p>
        </w:tc>
      </w:tr>
      <w:tr w:rsidR="00C45EF1" w:rsidRPr="004318EE" w:rsidTr="003934C1">
        <w:trPr>
          <w:trHeight w:val="3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rPr>
                <w:rFonts w:ascii="Arial" w:hAnsi="Arial" w:cs="Arial"/>
                <w:sz w:val="22"/>
                <w:szCs w:val="18"/>
              </w:rPr>
            </w:pPr>
            <w:r w:rsidRPr="003934C1">
              <w:rPr>
                <w:rFonts w:ascii="Arial" w:hAnsi="Arial" w:cs="Arial"/>
                <w:sz w:val="22"/>
                <w:szCs w:val="18"/>
              </w:rPr>
              <w:t>MCHC, gm/dl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3934C1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Different time trends between cohorts</w:t>
            </w:r>
          </w:p>
        </w:tc>
      </w:tr>
      <w:tr w:rsidR="00C45EF1" w:rsidRPr="004318EE" w:rsidTr="003934C1">
        <w:trPr>
          <w:trHeight w:val="3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rPr>
                <w:rFonts w:ascii="Arial" w:hAnsi="Arial" w:cs="Arial"/>
                <w:sz w:val="22"/>
                <w:szCs w:val="18"/>
              </w:rPr>
            </w:pPr>
            <w:r w:rsidRPr="003934C1">
              <w:rPr>
                <w:rFonts w:ascii="Arial" w:hAnsi="Arial" w:cs="Arial"/>
                <w:sz w:val="22"/>
                <w:szCs w:val="18"/>
              </w:rPr>
              <w:t xml:space="preserve">MCV, </w:t>
            </w:r>
            <w:proofErr w:type="spellStart"/>
            <w:r w:rsidRPr="003934C1">
              <w:rPr>
                <w:rFonts w:ascii="Arial" w:hAnsi="Arial" w:cs="Arial"/>
                <w:sz w:val="22"/>
                <w:szCs w:val="18"/>
              </w:rPr>
              <w:t>fl</w:t>
            </w:r>
            <w:proofErr w:type="spellEnd"/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3934C1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Different time trends between cohorts</w:t>
            </w:r>
          </w:p>
        </w:tc>
      </w:tr>
      <w:tr w:rsidR="00C45EF1" w:rsidRPr="004318EE" w:rsidTr="003934C1">
        <w:trPr>
          <w:trHeight w:val="3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rPr>
                <w:rFonts w:ascii="Arial" w:hAnsi="Arial" w:cs="Arial"/>
                <w:sz w:val="22"/>
                <w:szCs w:val="18"/>
              </w:rPr>
            </w:pPr>
            <w:r w:rsidRPr="003934C1">
              <w:rPr>
                <w:rFonts w:ascii="Arial" w:hAnsi="Arial" w:cs="Arial"/>
                <w:sz w:val="22"/>
                <w:szCs w:val="18"/>
              </w:rPr>
              <w:t>WBC, x10</w:t>
            </w:r>
            <w:r w:rsidRPr="003934C1">
              <w:rPr>
                <w:rFonts w:ascii="Arial" w:hAnsi="Arial" w:cs="Arial"/>
                <w:sz w:val="22"/>
                <w:szCs w:val="18"/>
                <w:vertAlign w:val="superscript"/>
              </w:rPr>
              <w:t>3</w:t>
            </w:r>
            <w:r w:rsidRPr="003934C1">
              <w:rPr>
                <w:rFonts w:ascii="Arial" w:hAnsi="Arial" w:cs="Arial"/>
                <w:sz w:val="22"/>
                <w:szCs w:val="18"/>
              </w:rPr>
              <w:t>/</w:t>
            </w:r>
            <w:r w:rsidRPr="003934C1">
              <w:rPr>
                <w:rFonts w:ascii="Arial" w:hAnsi="Arial" w:cs="Arial"/>
                <w:sz w:val="22"/>
                <w:szCs w:val="18"/>
              </w:rPr>
              <w:sym w:font="Symbol" w:char="F06D"/>
            </w:r>
            <w:r w:rsidRPr="003934C1">
              <w:rPr>
                <w:rFonts w:ascii="Arial" w:hAnsi="Arial" w:cs="Arial"/>
                <w:sz w:val="22"/>
                <w:szCs w:val="18"/>
              </w:rPr>
              <w:t>l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3934C1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No between-cohort difference</w:t>
            </w:r>
          </w:p>
        </w:tc>
      </w:tr>
      <w:tr w:rsidR="00C45EF1" w:rsidRPr="004318EE" w:rsidTr="003934C1">
        <w:trPr>
          <w:trHeight w:val="3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rPr>
                <w:rFonts w:ascii="Arial" w:hAnsi="Arial" w:cs="Arial"/>
                <w:sz w:val="22"/>
                <w:szCs w:val="18"/>
              </w:rPr>
            </w:pPr>
            <w:r w:rsidRPr="003934C1">
              <w:rPr>
                <w:rFonts w:ascii="Arial" w:hAnsi="Arial" w:cs="Arial"/>
                <w:sz w:val="22"/>
                <w:szCs w:val="18"/>
              </w:rPr>
              <w:t>WBC Neutrophils, %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3934C1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Borderline different time trends between cohorts</w:t>
            </w:r>
          </w:p>
        </w:tc>
      </w:tr>
      <w:tr w:rsidR="00C45EF1" w:rsidRPr="004318EE" w:rsidTr="003934C1">
        <w:trPr>
          <w:trHeight w:val="3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rPr>
                <w:rFonts w:ascii="Arial" w:hAnsi="Arial" w:cs="Arial"/>
                <w:sz w:val="22"/>
                <w:szCs w:val="18"/>
              </w:rPr>
            </w:pPr>
            <w:r w:rsidRPr="003934C1">
              <w:rPr>
                <w:rFonts w:ascii="Arial" w:hAnsi="Arial" w:cs="Arial"/>
                <w:sz w:val="22"/>
                <w:szCs w:val="18"/>
              </w:rPr>
              <w:t>WBC Lymphocytes, %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3934C1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Borderline different time trends between cohorts</w:t>
            </w:r>
          </w:p>
        </w:tc>
      </w:tr>
      <w:tr w:rsidR="00C45EF1" w:rsidRPr="004318EE" w:rsidTr="003934C1">
        <w:trPr>
          <w:trHeight w:val="3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rPr>
                <w:rFonts w:ascii="Arial" w:hAnsi="Arial" w:cs="Arial"/>
                <w:sz w:val="22"/>
                <w:szCs w:val="18"/>
              </w:rPr>
            </w:pPr>
            <w:r w:rsidRPr="003934C1">
              <w:rPr>
                <w:rFonts w:ascii="Arial" w:hAnsi="Arial" w:cs="Arial"/>
                <w:sz w:val="22"/>
                <w:szCs w:val="18"/>
              </w:rPr>
              <w:t>WBC Monocytes, %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3934C1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No between-cohort difference</w:t>
            </w:r>
          </w:p>
        </w:tc>
      </w:tr>
      <w:tr w:rsidR="00C45EF1" w:rsidRPr="004318EE" w:rsidTr="003934C1">
        <w:trPr>
          <w:trHeight w:val="3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rPr>
                <w:rFonts w:ascii="Arial" w:hAnsi="Arial" w:cs="Arial"/>
                <w:sz w:val="22"/>
                <w:szCs w:val="18"/>
              </w:rPr>
            </w:pPr>
            <w:r w:rsidRPr="003934C1">
              <w:rPr>
                <w:rFonts w:ascii="Arial" w:hAnsi="Arial" w:cs="Arial"/>
                <w:sz w:val="22"/>
                <w:szCs w:val="18"/>
              </w:rPr>
              <w:t>WBC Basophils, %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3934C1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Different time trends between cohorts</w:t>
            </w:r>
          </w:p>
        </w:tc>
      </w:tr>
      <w:tr w:rsidR="00C45EF1" w:rsidRPr="004318EE" w:rsidTr="003934C1">
        <w:trPr>
          <w:trHeight w:val="3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rPr>
                <w:rFonts w:ascii="Arial" w:hAnsi="Arial" w:cs="Arial"/>
                <w:sz w:val="22"/>
                <w:szCs w:val="18"/>
              </w:rPr>
            </w:pPr>
            <w:r w:rsidRPr="003934C1">
              <w:rPr>
                <w:rFonts w:ascii="Arial" w:hAnsi="Arial" w:cs="Arial"/>
                <w:sz w:val="22"/>
                <w:szCs w:val="18"/>
              </w:rPr>
              <w:t>WBC Eosinophils, %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3934C1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Different time trends between cohorts</w:t>
            </w:r>
          </w:p>
        </w:tc>
      </w:tr>
      <w:tr w:rsidR="00C45EF1" w:rsidRPr="004318EE" w:rsidTr="003934C1">
        <w:trPr>
          <w:trHeight w:val="3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rPr>
                <w:rFonts w:ascii="Arial" w:hAnsi="Arial" w:cs="Arial"/>
                <w:sz w:val="22"/>
                <w:szCs w:val="18"/>
              </w:rPr>
            </w:pPr>
            <w:r w:rsidRPr="003934C1">
              <w:rPr>
                <w:rFonts w:ascii="Arial" w:hAnsi="Arial" w:cs="Arial"/>
                <w:sz w:val="22"/>
                <w:szCs w:val="18"/>
              </w:rPr>
              <w:t>Platelets, x10</w:t>
            </w:r>
            <w:r w:rsidRPr="003934C1">
              <w:rPr>
                <w:rFonts w:ascii="Arial" w:hAnsi="Arial" w:cs="Arial"/>
                <w:sz w:val="22"/>
                <w:szCs w:val="18"/>
                <w:vertAlign w:val="superscript"/>
              </w:rPr>
              <w:t>3</w:t>
            </w:r>
            <w:r w:rsidRPr="003934C1">
              <w:rPr>
                <w:rFonts w:ascii="Arial" w:hAnsi="Arial" w:cs="Arial"/>
                <w:sz w:val="22"/>
                <w:szCs w:val="18"/>
              </w:rPr>
              <w:t>/</w:t>
            </w:r>
            <w:r w:rsidRPr="003934C1">
              <w:rPr>
                <w:rFonts w:ascii="Arial" w:hAnsi="Arial" w:cs="Arial"/>
                <w:sz w:val="22"/>
                <w:szCs w:val="18"/>
              </w:rPr>
              <w:sym w:font="Symbol" w:char="F06D"/>
            </w:r>
            <w:r w:rsidRPr="003934C1">
              <w:rPr>
                <w:rFonts w:ascii="Arial" w:hAnsi="Arial" w:cs="Arial"/>
                <w:sz w:val="22"/>
                <w:szCs w:val="18"/>
              </w:rPr>
              <w:t>l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3934C1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Different time trends between cohorts</w:t>
            </w:r>
          </w:p>
        </w:tc>
      </w:tr>
      <w:tr w:rsidR="00C45EF1" w:rsidRPr="004318EE" w:rsidTr="003934C1">
        <w:trPr>
          <w:trHeight w:val="3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rPr>
                <w:rFonts w:ascii="Arial" w:hAnsi="Arial" w:cs="Arial"/>
                <w:sz w:val="22"/>
                <w:szCs w:val="18"/>
              </w:rPr>
            </w:pPr>
            <w:r w:rsidRPr="003934C1">
              <w:rPr>
                <w:rFonts w:ascii="Arial" w:hAnsi="Arial" w:cs="Arial"/>
                <w:sz w:val="22"/>
                <w:szCs w:val="18"/>
              </w:rPr>
              <w:t xml:space="preserve">MPV, </w:t>
            </w:r>
            <w:proofErr w:type="spellStart"/>
            <w:r w:rsidRPr="003934C1">
              <w:rPr>
                <w:rFonts w:ascii="Arial" w:hAnsi="Arial" w:cs="Arial"/>
                <w:sz w:val="22"/>
                <w:szCs w:val="18"/>
              </w:rPr>
              <w:t>fl</w:t>
            </w:r>
            <w:proofErr w:type="spellEnd"/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3934C1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Different time trends between cohorts</w:t>
            </w:r>
          </w:p>
        </w:tc>
      </w:tr>
      <w:tr w:rsidR="00C45EF1" w:rsidRPr="004318EE" w:rsidTr="003934C1">
        <w:trPr>
          <w:trHeight w:val="3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rPr>
                <w:rFonts w:ascii="Arial" w:hAnsi="Arial" w:cs="Arial"/>
                <w:sz w:val="22"/>
                <w:szCs w:val="18"/>
              </w:rPr>
            </w:pPr>
            <w:r w:rsidRPr="003934C1">
              <w:rPr>
                <w:rFonts w:ascii="Arial" w:hAnsi="Arial" w:cs="Arial"/>
                <w:sz w:val="22"/>
                <w:szCs w:val="18"/>
              </w:rPr>
              <w:t>TSAT, %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3934C1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Borderline different time trends between cohorts</w:t>
            </w:r>
          </w:p>
        </w:tc>
      </w:tr>
      <w:tr w:rsidR="00C45EF1" w:rsidRPr="004318EE" w:rsidTr="003934C1">
        <w:trPr>
          <w:trHeight w:val="3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rPr>
                <w:rFonts w:ascii="Arial" w:hAnsi="Arial" w:cs="Arial"/>
                <w:sz w:val="22"/>
                <w:szCs w:val="18"/>
              </w:rPr>
            </w:pPr>
            <w:r w:rsidRPr="003934C1">
              <w:rPr>
                <w:rFonts w:ascii="Arial" w:hAnsi="Arial" w:cs="Arial"/>
                <w:sz w:val="22"/>
                <w:szCs w:val="18"/>
              </w:rPr>
              <w:t>TIBC, μg/dl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3934C1" w:rsidRDefault="00C45EF1" w:rsidP="00B26A8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18"/>
              </w:rPr>
            </w:pPr>
            <w:r w:rsidRPr="003934C1">
              <w:rPr>
                <w:rFonts w:ascii="Arial" w:eastAsia="Times New Roman" w:hAnsi="Arial" w:cs="Arial"/>
                <w:color w:val="000000"/>
                <w:sz w:val="22"/>
                <w:szCs w:val="18"/>
              </w:rPr>
              <w:t>No between-cohort difference</w:t>
            </w:r>
          </w:p>
        </w:tc>
      </w:tr>
      <w:tr w:rsidR="00C45EF1" w:rsidRPr="004318EE" w:rsidTr="003934C1">
        <w:trPr>
          <w:trHeight w:val="367"/>
        </w:trPr>
        <w:tc>
          <w:tcPr>
            <w:tcW w:w="30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C45EF1" w:rsidRDefault="00C45EF1" w:rsidP="00B2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C45EF1" w:rsidRDefault="00C45EF1" w:rsidP="00B26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b/>
          <w:sz w:val="22"/>
          <w:szCs w:val="22"/>
        </w:rPr>
      </w:pPr>
    </w:p>
    <w:p w:rsidR="00C45EF1" w:rsidRPr="006C4F0D" w:rsidRDefault="00C45EF1" w:rsidP="00C45EF1">
      <w:pPr>
        <w:jc w:val="both"/>
        <w:rPr>
          <w:rFonts w:ascii="Arial" w:hAnsi="Arial" w:cs="Arial"/>
          <w:sz w:val="22"/>
          <w:szCs w:val="22"/>
        </w:rPr>
      </w:pPr>
      <w:r w:rsidRPr="006C4F0D">
        <w:rPr>
          <w:rFonts w:ascii="Arial" w:hAnsi="Arial" w:cs="Arial"/>
          <w:b/>
          <w:sz w:val="22"/>
          <w:szCs w:val="22"/>
        </w:rPr>
        <w:t>Table S8</w:t>
      </w:r>
      <w:r w:rsidRPr="006C4F0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Summary of findings about the trend differences </w:t>
      </w:r>
      <w:r w:rsidRPr="006C4F0D">
        <w:rPr>
          <w:rFonts w:ascii="Arial" w:hAnsi="Arial" w:cs="Arial"/>
          <w:sz w:val="22"/>
          <w:szCs w:val="22"/>
        </w:rPr>
        <w:t>between SRs and NSRs</w:t>
      </w:r>
      <w:r>
        <w:rPr>
          <w:rFonts w:ascii="Arial" w:hAnsi="Arial" w:cs="Arial"/>
          <w:sz w:val="22"/>
          <w:szCs w:val="22"/>
        </w:rPr>
        <w:t xml:space="preserve"> based on the final LMMs for all variables.</w:t>
      </w:r>
      <w:r w:rsidRPr="006C4F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Different time trends between cohorts means the quadratic and or linear interaction(s) between cohort and time was significant with p&lt;0.05 while b</w:t>
      </w:r>
      <w:r w:rsidRPr="00B10568">
        <w:rPr>
          <w:rFonts w:ascii="Arial" w:hAnsi="Arial" w:cs="Arial"/>
          <w:sz w:val="22"/>
          <w:szCs w:val="22"/>
        </w:rPr>
        <w:t xml:space="preserve">orderline </w:t>
      </w:r>
      <w:r>
        <w:rPr>
          <w:rFonts w:ascii="Arial" w:hAnsi="Arial" w:cs="Arial"/>
          <w:sz w:val="22"/>
          <w:szCs w:val="22"/>
        </w:rPr>
        <w:t xml:space="preserve">means neither term is significant but the p-value was within 0.05-0.1. </w:t>
      </w:r>
      <w:r w:rsidRPr="00300D5B">
        <w:rPr>
          <w:rFonts w:ascii="Arial" w:hAnsi="Arial" w:cs="Arial"/>
          <w:sz w:val="22"/>
          <w:szCs w:val="22"/>
        </w:rPr>
        <w:t>No between-cohort difference</w:t>
      </w:r>
      <w:r>
        <w:rPr>
          <w:rFonts w:ascii="Arial" w:hAnsi="Arial" w:cs="Arial"/>
          <w:sz w:val="22"/>
          <w:szCs w:val="22"/>
        </w:rPr>
        <w:t xml:space="preserve"> means neither interaction term was significant and the p-value&gt;0.1.</w:t>
      </w:r>
      <w:r w:rsidRPr="006C4F0D">
        <w:rPr>
          <w:rFonts w:ascii="Arial" w:hAnsi="Arial" w:cs="Arial"/>
          <w:sz w:val="22"/>
          <w:szCs w:val="22"/>
        </w:rPr>
        <w:t xml:space="preserve"> RDWSD = standard deviation of red cell distribution width; RDWCV = coefficient of variation of red cell distribution width; MCHC = mean corpuscular</w:t>
      </w:r>
      <w:r>
        <w:rPr>
          <w:rFonts w:ascii="Arial" w:hAnsi="Arial" w:cs="Arial"/>
          <w:sz w:val="22"/>
          <w:szCs w:val="22"/>
        </w:rPr>
        <w:t xml:space="preserve"> hemoglobin concentration; MCV = mean corpuscular volume; WBC = white blood cell; MPV = mean platelet volume; TSAT = transferrin saturation; TIBC = total iron binding capacity.</w:t>
      </w: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tbl>
      <w:tblPr>
        <w:tblpPr w:leftFromText="187" w:rightFromText="187" w:horzAnchor="margin" w:tblpXSpec="center" w:tblpY="1"/>
        <w:tblOverlap w:val="never"/>
        <w:tblW w:w="1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900"/>
        <w:gridCol w:w="1080"/>
        <w:gridCol w:w="1620"/>
        <w:gridCol w:w="1440"/>
        <w:gridCol w:w="1890"/>
        <w:gridCol w:w="1980"/>
      </w:tblGrid>
      <w:tr w:rsidR="00C45EF1" w:rsidRPr="004318EE" w:rsidTr="00B26A89">
        <w:trPr>
          <w:trHeight w:val="765"/>
        </w:trPr>
        <w:tc>
          <w:tcPr>
            <w:tcW w:w="27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C45EF1" w:rsidRPr="00AF5A02" w:rsidRDefault="00C45EF1" w:rsidP="00B2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Predictor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45EF1" w:rsidRDefault="00C45EF1" w:rsidP="00B2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(n)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Subjects</w:t>
            </w:r>
          </w:p>
          <w:p w:rsidR="00C45EF1" w:rsidRDefault="00C45EF1" w:rsidP="00B2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(n)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Coefficient of</w:t>
            </w:r>
          </w:p>
          <w:p w:rsidR="00C45EF1" w:rsidRDefault="00C45EF1" w:rsidP="00B2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Predictor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  <w:p w:rsidR="00C45EF1" w:rsidRDefault="00C45EF1" w:rsidP="00B2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(Predictor)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Coefficient of CFRSD-CRISS</w:t>
            </w:r>
          </w:p>
          <w:p w:rsidR="00C45EF1" w:rsidRDefault="00C45EF1" w:rsidP="00B2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at PEX Onset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  <w:p w:rsidR="00C45EF1" w:rsidRDefault="00C45EF1" w:rsidP="00B2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(CFRSD-CRISS</w:t>
            </w:r>
          </w:p>
          <w:p w:rsidR="00C45EF1" w:rsidRDefault="00C45EF1" w:rsidP="00B2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 PEX Onset)</w:t>
            </w:r>
          </w:p>
        </w:tc>
      </w:tr>
      <w:tr w:rsidR="00C45EF1" w:rsidRPr="004318EE" w:rsidTr="00B26A89">
        <w:trPr>
          <w:trHeight w:val="146"/>
        </w:trPr>
        <w:tc>
          <w:tcPr>
            <w:tcW w:w="27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Pr="001A43AC" w:rsidRDefault="00C45EF1" w:rsidP="00B26A8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1A43AC" w:rsidRDefault="00C45EF1" w:rsidP="00B26A8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1A43AC" w:rsidRDefault="00C45EF1" w:rsidP="00B26A8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1A43AC" w:rsidRDefault="00C45EF1" w:rsidP="00B26A8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1A43AC" w:rsidRDefault="00C45EF1" w:rsidP="00B26A8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1A43AC" w:rsidRDefault="00C45EF1" w:rsidP="00B26A8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5EF1" w:rsidRPr="001A43AC" w:rsidRDefault="00C45EF1" w:rsidP="00B26A8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45EF1" w:rsidRPr="004318EE" w:rsidTr="00B26A89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C45EF1" w:rsidRDefault="00C45EF1" w:rsidP="00B2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hAnsi="Arial" w:cs="Arial"/>
                <w:sz w:val="20"/>
                <w:szCs w:val="20"/>
              </w:rPr>
              <w:t>FEV1%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C45EF1" w:rsidRPr="004318EE" w:rsidTr="00B26A89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Default="00C45EF1" w:rsidP="00B2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hAnsi="Arial" w:cs="Arial"/>
                <w:sz w:val="20"/>
                <w:szCs w:val="20"/>
              </w:rPr>
              <w:t>Hemoglobin, gm/dl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C45EF1" w:rsidRPr="004318EE" w:rsidTr="00B26A89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C45EF1" w:rsidRDefault="00C45EF1" w:rsidP="00B2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hAnsi="Arial" w:cs="Arial"/>
                <w:sz w:val="20"/>
                <w:szCs w:val="20"/>
              </w:rPr>
              <w:t>Hematocrit,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C45EF1" w:rsidRPr="004318EE" w:rsidTr="00B26A89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Default="00C45EF1" w:rsidP="00B2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hAnsi="Arial" w:cs="Arial"/>
                <w:sz w:val="20"/>
                <w:szCs w:val="20"/>
              </w:rPr>
              <w:t xml:space="preserve">RDWSD,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C45EF1" w:rsidRPr="004318EE" w:rsidTr="00B26A89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C45EF1" w:rsidRDefault="00C45EF1" w:rsidP="00B2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hAnsi="Arial" w:cs="Arial"/>
                <w:sz w:val="20"/>
                <w:szCs w:val="20"/>
              </w:rPr>
              <w:t>RDWCV,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C45EF1" w:rsidRPr="004318EE" w:rsidTr="00B26A89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Default="00C45EF1" w:rsidP="00B2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hAnsi="Arial" w:cs="Arial"/>
                <w:sz w:val="20"/>
                <w:szCs w:val="20"/>
              </w:rPr>
              <w:t>MCHC, gm/dl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C45EF1" w:rsidRPr="004318EE" w:rsidTr="00B26A89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C45EF1" w:rsidRDefault="00C45EF1" w:rsidP="00B2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hAnsi="Arial" w:cs="Arial"/>
                <w:sz w:val="20"/>
                <w:szCs w:val="20"/>
              </w:rPr>
              <w:t xml:space="preserve">MCV,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C45EF1" w:rsidRPr="004318EE" w:rsidTr="00B26A89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Default="00C45EF1" w:rsidP="00B2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hAnsi="Arial" w:cs="Arial"/>
                <w:sz w:val="20"/>
                <w:szCs w:val="20"/>
              </w:rPr>
              <w:t xml:space="preserve">WBC, </w:t>
            </w:r>
            <w:r w:rsidRPr="00AF5A02">
              <w:rPr>
                <w:rFonts w:ascii="Arial" w:hAnsi="Arial" w:cs="Arial"/>
                <w:sz w:val="20"/>
                <w:szCs w:val="20"/>
              </w:rPr>
              <w:t>x10</w:t>
            </w:r>
            <w:r w:rsidRPr="00AF5A0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F5A02">
              <w:rPr>
                <w:rFonts w:ascii="Arial" w:hAnsi="Arial" w:cs="Arial"/>
                <w:sz w:val="20"/>
                <w:szCs w:val="20"/>
              </w:rPr>
              <w:t>/</w:t>
            </w:r>
            <w:r w:rsidRPr="00AF5A02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AF5A0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C45EF1" w:rsidRPr="004318EE" w:rsidTr="00B26A89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C45EF1" w:rsidRDefault="00C45EF1" w:rsidP="00B2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hAnsi="Arial" w:cs="Arial"/>
                <w:sz w:val="20"/>
                <w:szCs w:val="20"/>
              </w:rPr>
              <w:t>WBC Neutrophils,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C45EF1" w:rsidRPr="004318EE" w:rsidTr="00B26A89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Default="00C45EF1" w:rsidP="00B2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hAnsi="Arial" w:cs="Arial"/>
                <w:sz w:val="20"/>
                <w:szCs w:val="20"/>
              </w:rPr>
              <w:t>WBC Lymphocytes,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C45EF1" w:rsidRPr="004318EE" w:rsidTr="00B26A89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C45EF1" w:rsidRDefault="00C45EF1" w:rsidP="00B2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hAnsi="Arial" w:cs="Arial"/>
                <w:sz w:val="20"/>
                <w:szCs w:val="20"/>
              </w:rPr>
              <w:t>WBC Monocytes,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C45EF1" w:rsidRPr="004318EE" w:rsidTr="00B26A89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Default="00C45EF1" w:rsidP="00B2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hAnsi="Arial" w:cs="Arial"/>
                <w:sz w:val="20"/>
                <w:szCs w:val="20"/>
              </w:rPr>
              <w:t>WBC Basophils,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C45EF1" w:rsidRPr="004318EE" w:rsidTr="00B26A89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C45EF1" w:rsidRDefault="00C45EF1" w:rsidP="00B2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hAnsi="Arial" w:cs="Arial"/>
                <w:sz w:val="20"/>
                <w:szCs w:val="20"/>
              </w:rPr>
              <w:t>WBC Eosinophils,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C45EF1" w:rsidRPr="004318EE" w:rsidTr="00B26A89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Default="00C45EF1" w:rsidP="00B2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hAnsi="Arial" w:cs="Arial"/>
                <w:sz w:val="20"/>
                <w:szCs w:val="20"/>
              </w:rPr>
              <w:t>Platelets</w:t>
            </w:r>
            <w:r>
              <w:rPr>
                <w:rFonts w:ascii="Arial" w:hAnsi="Arial" w:cs="Arial"/>
              </w:rPr>
              <w:t xml:space="preserve">, </w:t>
            </w:r>
            <w:r w:rsidRPr="00AF5A02">
              <w:rPr>
                <w:rFonts w:ascii="Arial" w:hAnsi="Arial" w:cs="Arial"/>
                <w:sz w:val="20"/>
                <w:szCs w:val="20"/>
              </w:rPr>
              <w:t>x10</w:t>
            </w:r>
            <w:r w:rsidRPr="00AF5A0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F5A02">
              <w:rPr>
                <w:rFonts w:ascii="Arial" w:hAnsi="Arial" w:cs="Arial"/>
                <w:sz w:val="20"/>
                <w:szCs w:val="20"/>
              </w:rPr>
              <w:t>/</w:t>
            </w:r>
            <w:r w:rsidRPr="00AF5A02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AF5A0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C45EF1" w:rsidRPr="004318EE" w:rsidTr="00B26A89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C45EF1" w:rsidRDefault="00C45EF1" w:rsidP="00B2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hAnsi="Arial" w:cs="Arial"/>
                <w:sz w:val="20"/>
                <w:szCs w:val="20"/>
              </w:rPr>
              <w:t xml:space="preserve">MPV,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C45EF1" w:rsidRPr="004318EE" w:rsidTr="00B26A89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Default="00C45EF1" w:rsidP="00B2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hAnsi="Arial" w:cs="Arial"/>
                <w:sz w:val="20"/>
                <w:szCs w:val="20"/>
              </w:rPr>
              <w:t>Serum IL-6, pg/ml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C45EF1" w:rsidRPr="004318EE" w:rsidTr="00B26A89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C45EF1" w:rsidRDefault="00C45EF1" w:rsidP="00B2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hAnsi="Arial" w:cs="Arial"/>
                <w:sz w:val="20"/>
                <w:szCs w:val="20"/>
              </w:rPr>
              <w:t>Serum hepcidin-25, ng/ml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C45EF1" w:rsidRPr="004318EE" w:rsidTr="00B26A89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Default="00C45EF1" w:rsidP="00B2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hAnsi="Arial" w:cs="Arial"/>
                <w:sz w:val="20"/>
                <w:szCs w:val="20"/>
              </w:rPr>
              <w:t>Serum iron, μg/dl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C45EF1" w:rsidRPr="004318EE" w:rsidTr="00B26A89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C45EF1" w:rsidRDefault="00C45EF1" w:rsidP="00B2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hAnsi="Arial" w:cs="Arial"/>
                <w:sz w:val="20"/>
                <w:szCs w:val="20"/>
              </w:rPr>
              <w:t>Sputum iron, ng/mg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C45EF1" w:rsidRPr="004318EE" w:rsidTr="00B26A89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5EF1" w:rsidRDefault="00C45EF1" w:rsidP="00B2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hAnsi="Arial" w:cs="Arial"/>
                <w:sz w:val="20"/>
                <w:szCs w:val="20"/>
              </w:rPr>
              <w:t>TSAT,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C45EF1" w:rsidRPr="004318EE" w:rsidTr="00B26A89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C45EF1" w:rsidRDefault="00C45EF1" w:rsidP="00B2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>
              <w:rPr>
                <w:rFonts w:ascii="Arial" w:hAnsi="Arial" w:cs="Arial"/>
                <w:sz w:val="20"/>
                <w:szCs w:val="20"/>
              </w:rPr>
              <w:t>TIBC, μg/dl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EF1" w:rsidRDefault="00C45EF1" w:rsidP="00B2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C45EF1" w:rsidRPr="004318EE" w:rsidTr="00B26A89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C45EF1" w:rsidRPr="00FF62C0" w:rsidRDefault="00C45EF1" w:rsidP="00B26A89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FF62C0" w:rsidRDefault="00C45EF1" w:rsidP="00B26A8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FF62C0" w:rsidRDefault="00C45EF1" w:rsidP="00B26A8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FF62C0" w:rsidRDefault="00C45EF1" w:rsidP="00B26A8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FF62C0" w:rsidRDefault="00C45EF1" w:rsidP="00B26A8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FF62C0" w:rsidRDefault="00C45EF1" w:rsidP="00B26A8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5EF1" w:rsidRPr="00FF62C0" w:rsidRDefault="00C45EF1" w:rsidP="00B26A8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C45EF1" w:rsidRDefault="00C45EF1" w:rsidP="00C45E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S9</w:t>
      </w:r>
      <w:r w:rsidRPr="006C4F0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LMMs for CFRSD-CRISS in response to changes in </w:t>
      </w:r>
      <w:r>
        <w:rPr>
          <w:rStyle w:val="CommentReference"/>
          <w:rFonts w:ascii="Arial" w:hAnsi="Arial" w:cs="Arial"/>
          <w:sz w:val="22"/>
          <w:szCs w:val="22"/>
        </w:rPr>
        <w:t xml:space="preserve">physiologic and/or biochemical indices, respectively, with control for </w:t>
      </w:r>
      <w:r>
        <w:rPr>
          <w:rFonts w:ascii="Arial" w:hAnsi="Arial" w:cs="Arial"/>
          <w:sz w:val="22"/>
          <w:szCs w:val="22"/>
        </w:rPr>
        <w:t xml:space="preserve">CFRSD-CRISS at PEX onset. Each coefficient means the expected change in CFRSD-CRISS for every unit increase in the corresponding predictor variable. </w:t>
      </w:r>
      <w:r w:rsidRPr="006C4F0D">
        <w:rPr>
          <w:rFonts w:ascii="Arial" w:hAnsi="Arial" w:cs="Arial"/>
          <w:sz w:val="22"/>
          <w:szCs w:val="22"/>
        </w:rPr>
        <w:t>RDWSD = standard deviation of red cell distribution width; RDWCV = coefficient of variation of red cell distribution width; MCHC = mean corpuscular</w:t>
      </w:r>
      <w:r>
        <w:rPr>
          <w:rFonts w:ascii="Arial" w:hAnsi="Arial" w:cs="Arial"/>
          <w:sz w:val="22"/>
          <w:szCs w:val="22"/>
        </w:rPr>
        <w:t xml:space="preserve"> hemoglobin concentration; MCV = mean corpuscular volume; WBC = white blood cell; MPV = mean platelet volume; TSAT = transferrin saturation; TIBC = total iron binding capacity.</w:t>
      </w: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6B565B13" wp14:editId="6AF0E68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45936" cy="3931920"/>
            <wp:effectExtent l="0" t="0" r="0" b="0"/>
            <wp:wrapTight wrapText="bothSides">
              <wp:wrapPolygon edited="0">
                <wp:start x="0" y="0"/>
                <wp:lineTo x="0" y="21453"/>
                <wp:lineTo x="21529" y="21453"/>
                <wp:lineTo x="215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nal Kaplan-Mei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936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016">
        <w:rPr>
          <w:rFonts w:ascii="Arial" w:hAnsi="Arial" w:cs="Arial"/>
          <w:b/>
          <w:sz w:val="22"/>
          <w:szCs w:val="22"/>
        </w:rPr>
        <w:t>Fig. S1</w:t>
      </w:r>
      <w:r>
        <w:rPr>
          <w:rFonts w:ascii="Arial" w:hAnsi="Arial" w:cs="Arial"/>
          <w:sz w:val="22"/>
          <w:szCs w:val="22"/>
        </w:rPr>
        <w:t>. Kaplan-Meier estimator curves depicting the length of PEX treatment with IV ABX for SRs and NSRs.</w:t>
      </w:r>
      <w:r w:rsidRPr="00D25C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median length of treatment for SRs is 13.5 days and that for NSRs is 15 days. The Chi-square </w:t>
      </w:r>
      <w:r w:rsidRPr="001D178B">
        <w:rPr>
          <w:rFonts w:ascii="Arial" w:hAnsi="Arial" w:cs="Arial"/>
          <w:sz w:val="22"/>
          <w:szCs w:val="22"/>
        </w:rPr>
        <w:t>stat</w:t>
      </w:r>
      <w:r>
        <w:rPr>
          <w:rFonts w:ascii="Arial" w:hAnsi="Arial" w:cs="Arial"/>
          <w:sz w:val="22"/>
          <w:szCs w:val="22"/>
        </w:rPr>
        <w:t xml:space="preserve">istic for the log-rank test of </w:t>
      </w:r>
      <w:r w:rsidRPr="001D178B">
        <w:rPr>
          <w:rFonts w:ascii="Arial" w:hAnsi="Arial" w:cs="Arial"/>
          <w:sz w:val="22"/>
          <w:szCs w:val="22"/>
        </w:rPr>
        <w:t>equality of medians was 0.37 (p</w:t>
      </w:r>
      <w:r>
        <w:rPr>
          <w:rFonts w:ascii="Arial" w:hAnsi="Arial" w:cs="Arial"/>
          <w:sz w:val="22"/>
          <w:szCs w:val="22"/>
        </w:rPr>
        <w:t xml:space="preserve"> </w:t>
      </w:r>
      <w:r w:rsidRPr="001D178B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</w:t>
      </w:r>
      <w:r w:rsidRPr="001D178B">
        <w:rPr>
          <w:rFonts w:ascii="Arial" w:hAnsi="Arial" w:cs="Arial"/>
          <w:sz w:val="22"/>
          <w:szCs w:val="22"/>
        </w:rPr>
        <w:t>0.54).</w:t>
      </w: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 wp14:anchorId="36C8C859" wp14:editId="4FBAC92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66360" cy="3658949"/>
            <wp:effectExtent l="0" t="0" r="0" b="0"/>
            <wp:wrapTight wrapText="bothSides">
              <wp:wrapPolygon edited="0">
                <wp:start x="0" y="0"/>
                <wp:lineTo x="0" y="21480"/>
                <wp:lineTo x="21504" y="21480"/>
                <wp:lineTo x="215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ff Sputum and Serum F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365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Default="00C45EF1" w:rsidP="00C45EF1">
      <w:pPr>
        <w:rPr>
          <w:rFonts w:ascii="Arial" w:hAnsi="Arial" w:cs="Arial"/>
          <w:b/>
          <w:sz w:val="22"/>
          <w:szCs w:val="22"/>
        </w:rPr>
      </w:pPr>
    </w:p>
    <w:p w:rsidR="00C45EF1" w:rsidRPr="006846AF" w:rsidRDefault="00C45EF1" w:rsidP="00C45EF1">
      <w:pPr>
        <w:rPr>
          <w:rFonts w:ascii="Arial" w:hAnsi="Arial" w:cs="Arial"/>
          <w:sz w:val="22"/>
          <w:szCs w:val="22"/>
        </w:rPr>
      </w:pPr>
      <w:r w:rsidRPr="00034952">
        <w:rPr>
          <w:rFonts w:ascii="Arial" w:hAnsi="Arial" w:cs="Arial"/>
          <w:b/>
          <w:sz w:val="22"/>
          <w:szCs w:val="22"/>
        </w:rPr>
        <w:t>Fig. S2</w:t>
      </w:r>
      <w:r>
        <w:rPr>
          <w:rFonts w:ascii="Arial" w:hAnsi="Arial" w:cs="Arial"/>
          <w:sz w:val="22"/>
          <w:szCs w:val="22"/>
        </w:rPr>
        <w:t>. C</w:t>
      </w:r>
      <w:r w:rsidRPr="00AC096C">
        <w:rPr>
          <w:rFonts w:ascii="Arial" w:hAnsi="Arial" w:cs="Arial"/>
          <w:sz w:val="22"/>
          <w:szCs w:val="22"/>
        </w:rPr>
        <w:t>orrel</w:t>
      </w:r>
      <w:r>
        <w:rPr>
          <w:rFonts w:ascii="Arial" w:hAnsi="Arial" w:cs="Arial"/>
          <w:sz w:val="22"/>
          <w:szCs w:val="22"/>
        </w:rPr>
        <w:t xml:space="preserve">ation between treatment-associated </w:t>
      </w:r>
      <w:r w:rsidRPr="00AC096C">
        <w:rPr>
          <w:rFonts w:ascii="Arial" w:hAnsi="Arial" w:cs="Arial"/>
          <w:sz w:val="22"/>
          <w:szCs w:val="22"/>
        </w:rPr>
        <w:t xml:space="preserve">changes in </w:t>
      </w:r>
      <w:r>
        <w:rPr>
          <w:rFonts w:ascii="Arial" w:hAnsi="Arial" w:cs="Arial"/>
          <w:sz w:val="22"/>
          <w:szCs w:val="22"/>
        </w:rPr>
        <w:t>serum and sputum iron over time beginning with treatment day 1. The correlation coefficient is -0.34 (</w:t>
      </w:r>
      <w:r w:rsidRPr="00AC096C">
        <w:rPr>
          <w:rFonts w:ascii="Arial" w:hAnsi="Arial" w:cs="Arial"/>
          <w:sz w:val="22"/>
          <w:szCs w:val="22"/>
        </w:rPr>
        <w:t>p = 0.02)</w:t>
      </w:r>
      <w:r>
        <w:rPr>
          <w:rFonts w:ascii="Arial" w:hAnsi="Arial" w:cs="Arial"/>
          <w:sz w:val="22"/>
          <w:szCs w:val="22"/>
        </w:rPr>
        <w:t>.</w:t>
      </w:r>
    </w:p>
    <w:p w:rsidR="00B4755C" w:rsidRDefault="003934C1"/>
    <w:sectPr w:rsidR="00B4755C" w:rsidSect="003B1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718"/>
    <w:multiLevelType w:val="hybridMultilevel"/>
    <w:tmpl w:val="BC523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2E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7064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2965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52534B"/>
    <w:multiLevelType w:val="multilevel"/>
    <w:tmpl w:val="1B10A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0967E12"/>
    <w:multiLevelType w:val="multilevel"/>
    <w:tmpl w:val="5DECA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71602E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60318A1"/>
    <w:multiLevelType w:val="hybridMultilevel"/>
    <w:tmpl w:val="CD0A73F4"/>
    <w:lvl w:ilvl="0" w:tplc="A09866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F1"/>
    <w:rsid w:val="003934C1"/>
    <w:rsid w:val="003943FA"/>
    <w:rsid w:val="004E14B3"/>
    <w:rsid w:val="005A0AC0"/>
    <w:rsid w:val="00AF6E19"/>
    <w:rsid w:val="00C4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2BE9"/>
  <w15:chartTrackingRefBased/>
  <w15:docId w15:val="{D1CF86A7-7C0D-466B-B45B-FFDA3268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E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5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E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E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5EF1"/>
    <w:pPr>
      <w:spacing w:after="0" w:line="240" w:lineRule="auto"/>
    </w:pPr>
    <w:rPr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45EF1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5EF1"/>
    <w:rPr>
      <w:rFonts w:ascii="Calibri" w:hAnsi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45EF1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45EF1"/>
    <w:rPr>
      <w:rFonts w:ascii="Calibri" w:hAnsi="Calibri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C4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H. Gifford</dc:creator>
  <cp:keywords/>
  <dc:description/>
  <cp:lastModifiedBy>Alex H. Gifford</cp:lastModifiedBy>
  <cp:revision>4</cp:revision>
  <dcterms:created xsi:type="dcterms:W3CDTF">2020-07-30T23:38:00Z</dcterms:created>
  <dcterms:modified xsi:type="dcterms:W3CDTF">2020-07-30T23:52:00Z</dcterms:modified>
</cp:coreProperties>
</file>