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E620A" w14:textId="336FAC5C" w:rsidR="004F08B4" w:rsidRPr="00932742" w:rsidRDefault="000D6DCC" w:rsidP="00BC7621">
      <w:pPr>
        <w:pStyle w:val="Heading1"/>
        <w:rPr>
          <w:rFonts w:cs="Arial"/>
          <w:sz w:val="32"/>
        </w:rPr>
      </w:pPr>
      <w:r>
        <w:rPr>
          <w:rFonts w:cs="Arial"/>
          <w:sz w:val="32"/>
        </w:rPr>
        <w:t>Additional file</w:t>
      </w:r>
      <w:r w:rsidR="006E4E3A" w:rsidRPr="00932742">
        <w:rPr>
          <w:rFonts w:cs="Arial"/>
          <w:sz w:val="32"/>
        </w:rPr>
        <w:t xml:space="preserve"> </w:t>
      </w:r>
      <w:r w:rsidR="00251324" w:rsidRPr="00932742">
        <w:rPr>
          <w:rFonts w:cs="Arial"/>
          <w:sz w:val="32"/>
        </w:rPr>
        <w:t xml:space="preserve">1 – </w:t>
      </w:r>
      <w:r w:rsidR="007A3658" w:rsidRPr="00932742">
        <w:rPr>
          <w:rFonts w:cs="Arial"/>
          <w:sz w:val="32"/>
        </w:rPr>
        <w:t>M</w:t>
      </w:r>
      <w:r w:rsidR="006E4E3A" w:rsidRPr="00932742">
        <w:rPr>
          <w:rFonts w:cs="Arial"/>
          <w:sz w:val="32"/>
        </w:rPr>
        <w:t>odel development</w:t>
      </w:r>
    </w:p>
    <w:p w14:paraId="0A7F86EB" w14:textId="11A5B33F" w:rsidR="00932742" w:rsidRDefault="00A13C28" w:rsidP="00932742">
      <w:pPr>
        <w:pStyle w:val="Normal1"/>
        <w:spacing w:after="120" w:line="288" w:lineRule="auto"/>
        <w:rPr>
          <w:rFonts w:ascii="Arial" w:hAnsi="Arial" w:cs="Arial"/>
        </w:rPr>
      </w:pPr>
      <w:r w:rsidRPr="00932742">
        <w:rPr>
          <w:rFonts w:ascii="Arial" w:hAnsi="Arial" w:cs="Arial"/>
        </w:rPr>
        <w:t>We describe in more detail the methods used to develop the model</w:t>
      </w:r>
      <w:r w:rsidR="007A3658" w:rsidRPr="00932742">
        <w:rPr>
          <w:rFonts w:ascii="Arial" w:hAnsi="Arial" w:cs="Arial"/>
        </w:rPr>
        <w:t xml:space="preserve"> in this section</w:t>
      </w:r>
      <w:r w:rsidRPr="00932742">
        <w:rPr>
          <w:rFonts w:ascii="Arial" w:hAnsi="Arial" w:cs="Arial"/>
        </w:rPr>
        <w:t xml:space="preserve">. </w:t>
      </w:r>
    </w:p>
    <w:p w14:paraId="029A3023" w14:textId="77777777" w:rsidR="00932742" w:rsidRPr="00932742" w:rsidRDefault="00932742" w:rsidP="00932742">
      <w:pPr>
        <w:pStyle w:val="Normal1"/>
        <w:spacing w:after="120" w:line="288" w:lineRule="auto"/>
      </w:pPr>
    </w:p>
    <w:p w14:paraId="4B9221F8" w14:textId="474E234D" w:rsidR="00932742" w:rsidRDefault="00932742" w:rsidP="00932742">
      <w:pPr>
        <w:pStyle w:val="Heading2"/>
        <w:spacing w:after="120" w:line="288" w:lineRule="auto"/>
        <w:rPr>
          <w:rFonts w:cs="Arial"/>
        </w:rPr>
      </w:pPr>
      <w:r w:rsidRPr="00932742">
        <w:rPr>
          <w:rFonts w:cs="Arial"/>
        </w:rPr>
        <w:t>Predictors</w:t>
      </w:r>
    </w:p>
    <w:p w14:paraId="5B9CA737" w14:textId="10F4BB4D" w:rsidR="00932742" w:rsidRDefault="00932742" w:rsidP="00932742">
      <w:pPr>
        <w:spacing w:after="120" w:line="288" w:lineRule="auto"/>
        <w:rPr>
          <w:rFonts w:ascii="Arial" w:hAnsi="Arial" w:cs="Arial"/>
        </w:rPr>
      </w:pPr>
      <w:r>
        <w:rPr>
          <w:rFonts w:ascii="Arial" w:hAnsi="Arial" w:cs="Arial"/>
        </w:rPr>
        <w:t>Our proposed approach uses a conceptual model in which we estimate the risk of a patient experiencing an adverse event immediately after discharge from ICU. This risk score</w:t>
      </w:r>
      <w:r w:rsidR="00B56350">
        <w:rPr>
          <w:rFonts w:ascii="Arial" w:hAnsi="Arial" w:cs="Arial"/>
        </w:rPr>
        <w:t xml:space="preserve"> (RS</w:t>
      </w:r>
      <w:r w:rsidR="00B56350" w:rsidRPr="00B56350">
        <w:rPr>
          <w:rFonts w:ascii="Arial" w:hAnsi="Arial" w:cs="Arial"/>
          <w:vertAlign w:val="subscript"/>
        </w:rPr>
        <w:t>1</w:t>
      </w:r>
      <w:r w:rsidR="00B56350">
        <w:rPr>
          <w:rFonts w:ascii="Arial" w:hAnsi="Arial" w:cs="Arial"/>
        </w:rPr>
        <w:t>)</w:t>
      </w:r>
      <w:r>
        <w:rPr>
          <w:rFonts w:ascii="Arial" w:hAnsi="Arial" w:cs="Arial"/>
        </w:rPr>
        <w:t xml:space="preserve"> is estimated from variables recorded during their stay in the ICU. After discharge from ICU, the patient’s risk of experiencing an adverse event within the next 24 hours is updated in a time-varying manner</w:t>
      </w:r>
      <w:r w:rsidR="00B56350">
        <w:rPr>
          <w:rFonts w:ascii="Arial" w:hAnsi="Arial" w:cs="Arial"/>
        </w:rPr>
        <w:t xml:space="preserve"> (RS</w:t>
      </w:r>
      <w:r w:rsidR="00B56350" w:rsidRPr="00B56350">
        <w:rPr>
          <w:rFonts w:ascii="Arial" w:hAnsi="Arial" w:cs="Arial"/>
          <w:vertAlign w:val="subscript"/>
        </w:rPr>
        <w:t>2</w:t>
      </w:r>
      <w:r w:rsidR="00B56350">
        <w:rPr>
          <w:rFonts w:ascii="Arial" w:hAnsi="Arial" w:cs="Arial"/>
        </w:rPr>
        <w:t>)</w:t>
      </w:r>
      <w:r>
        <w:rPr>
          <w:rFonts w:ascii="Arial" w:hAnsi="Arial" w:cs="Arial"/>
        </w:rPr>
        <w:t xml:space="preserve">, using those measurements of the vital signs that are routinely measured during subsequent ward care. </w:t>
      </w:r>
    </w:p>
    <w:p w14:paraId="1BAD1F76" w14:textId="77777777" w:rsidR="00932742" w:rsidRPr="00932742" w:rsidRDefault="00932742" w:rsidP="00932742"/>
    <w:p w14:paraId="40801CCC" w14:textId="5C9FCF4E" w:rsidR="00932742" w:rsidRPr="00932742" w:rsidRDefault="00932742" w:rsidP="00932742">
      <w:pPr>
        <w:pStyle w:val="Normal1"/>
        <w:spacing w:after="120" w:line="288" w:lineRule="auto"/>
        <w:rPr>
          <w:rFonts w:ascii="Arial" w:hAnsi="Arial" w:cs="Arial"/>
        </w:rPr>
      </w:pPr>
      <w:r w:rsidRPr="00932742">
        <w:rPr>
          <w:rFonts w:ascii="Arial" w:hAnsi="Arial" w:cs="Arial"/>
          <w:u w:val="single"/>
        </w:rPr>
        <w:t>ICU-based feature representation</w:t>
      </w:r>
      <w:r w:rsidRPr="00932742">
        <w:rPr>
          <w:rFonts w:ascii="Arial" w:hAnsi="Arial" w:cs="Arial"/>
        </w:rPr>
        <w:t>:</w:t>
      </w:r>
    </w:p>
    <w:p w14:paraId="16CA0A38" w14:textId="57EF1008" w:rsidR="00932742" w:rsidRDefault="00932742" w:rsidP="00932742">
      <w:pPr>
        <w:pStyle w:val="Normal1"/>
        <w:spacing w:after="120" w:line="288" w:lineRule="auto"/>
        <w:rPr>
          <w:rFonts w:ascii="Arial" w:hAnsi="Arial" w:cs="Arial"/>
        </w:rPr>
      </w:pPr>
      <w:r>
        <w:rPr>
          <w:rFonts w:ascii="Arial" w:hAnsi="Arial" w:cs="Arial"/>
        </w:rPr>
        <w:t>To estimate the risk of a patient experiencing an adverse event immediately after discharge from ICU, we considered candidate variables that were available electronically in our databases</w:t>
      </w:r>
      <w:r>
        <w:rPr>
          <w:rFonts w:ascii="Arial" w:eastAsia="Arial" w:hAnsi="Arial" w:cs="Arial"/>
        </w:rPr>
        <w:t>.</w:t>
      </w:r>
      <w:r>
        <w:rPr>
          <w:rFonts w:ascii="Arial" w:hAnsi="Arial" w:cs="Arial"/>
        </w:rPr>
        <w:t xml:space="preserve"> The final list of candidate variables </w:t>
      </w:r>
      <w:r>
        <w:rPr>
          <w:rFonts w:ascii="Arial" w:eastAsia="Arial" w:hAnsi="Arial" w:cs="Arial"/>
        </w:rPr>
        <w:t>included the following physiological variables:</w:t>
      </w:r>
    </w:p>
    <w:p w14:paraId="5FF6CD73" w14:textId="77777777" w:rsidR="00932742" w:rsidRDefault="00932742" w:rsidP="00932742">
      <w:pPr>
        <w:pStyle w:val="ListParagraph"/>
        <w:numPr>
          <w:ilvl w:val="0"/>
          <w:numId w:val="6"/>
        </w:numPr>
        <w:spacing w:after="120" w:line="288" w:lineRule="auto"/>
        <w:rPr>
          <w:rFonts w:ascii="Arial" w:hAnsi="Arial" w:cs="Arial"/>
          <w:sz w:val="24"/>
          <w:szCs w:val="24"/>
        </w:rPr>
      </w:pPr>
      <w:r>
        <w:rPr>
          <w:rFonts w:ascii="Arial" w:hAnsi="Arial" w:cs="Arial"/>
          <w:sz w:val="24"/>
          <w:szCs w:val="24"/>
        </w:rPr>
        <w:t>Heart rate (HR), measured in beats per minute</w:t>
      </w:r>
    </w:p>
    <w:p w14:paraId="1A349D15" w14:textId="77777777" w:rsidR="00932742" w:rsidRDefault="00932742" w:rsidP="00932742">
      <w:pPr>
        <w:pStyle w:val="ListParagraph"/>
        <w:numPr>
          <w:ilvl w:val="0"/>
          <w:numId w:val="6"/>
        </w:numPr>
        <w:spacing w:after="120" w:line="288" w:lineRule="auto"/>
        <w:rPr>
          <w:rFonts w:ascii="Arial" w:hAnsi="Arial" w:cs="Arial"/>
          <w:sz w:val="24"/>
          <w:szCs w:val="24"/>
        </w:rPr>
      </w:pPr>
      <w:r>
        <w:rPr>
          <w:rFonts w:ascii="Arial" w:hAnsi="Arial" w:cs="Arial"/>
          <w:sz w:val="24"/>
          <w:szCs w:val="24"/>
        </w:rPr>
        <w:t>Respiratory rate (RR), in breaths per minute</w:t>
      </w:r>
    </w:p>
    <w:p w14:paraId="6F7ADC1C" w14:textId="77777777" w:rsidR="00932742" w:rsidRDefault="00932742" w:rsidP="00932742">
      <w:pPr>
        <w:pStyle w:val="ListParagraph"/>
        <w:numPr>
          <w:ilvl w:val="0"/>
          <w:numId w:val="6"/>
        </w:numPr>
        <w:spacing w:after="120" w:line="288" w:lineRule="auto"/>
        <w:rPr>
          <w:rFonts w:ascii="Arial" w:hAnsi="Arial" w:cs="Arial"/>
          <w:sz w:val="24"/>
          <w:szCs w:val="24"/>
        </w:rPr>
      </w:pPr>
      <w:r>
        <w:rPr>
          <w:rFonts w:ascii="Arial" w:hAnsi="Arial" w:cs="Arial"/>
          <w:sz w:val="24"/>
          <w:szCs w:val="24"/>
        </w:rPr>
        <w:t>Systolic (SBP), diastolic and mean blood pressure, in mmHg</w:t>
      </w:r>
    </w:p>
    <w:p w14:paraId="575B01D3" w14:textId="77777777" w:rsidR="00932742" w:rsidRDefault="00932742" w:rsidP="00932742">
      <w:pPr>
        <w:pStyle w:val="ListParagraph"/>
        <w:numPr>
          <w:ilvl w:val="0"/>
          <w:numId w:val="6"/>
        </w:numPr>
        <w:spacing w:after="120" w:line="288" w:lineRule="auto"/>
        <w:rPr>
          <w:rFonts w:ascii="Arial" w:hAnsi="Arial" w:cs="Arial"/>
          <w:sz w:val="24"/>
          <w:szCs w:val="24"/>
        </w:rPr>
      </w:pPr>
      <w:r>
        <w:rPr>
          <w:rFonts w:ascii="Arial" w:hAnsi="Arial" w:cs="Arial"/>
          <w:sz w:val="24"/>
          <w:szCs w:val="24"/>
        </w:rPr>
        <w:t>Temperature, in degrees Celsius</w:t>
      </w:r>
    </w:p>
    <w:p w14:paraId="5961EBF8" w14:textId="77777777" w:rsidR="00932742" w:rsidRDefault="00932742" w:rsidP="00932742">
      <w:pPr>
        <w:pStyle w:val="ListParagraph"/>
        <w:numPr>
          <w:ilvl w:val="0"/>
          <w:numId w:val="6"/>
        </w:numPr>
        <w:spacing w:after="120" w:line="288" w:lineRule="auto"/>
        <w:rPr>
          <w:rFonts w:ascii="Arial" w:hAnsi="Arial" w:cs="Arial"/>
          <w:sz w:val="24"/>
          <w:szCs w:val="24"/>
        </w:rPr>
      </w:pPr>
      <w:r>
        <w:rPr>
          <w:rFonts w:ascii="Arial" w:hAnsi="Arial" w:cs="Arial"/>
          <w:sz w:val="24"/>
          <w:szCs w:val="24"/>
        </w:rPr>
        <w:t>Peripheral oxygen saturation (SpO</w:t>
      </w:r>
      <w:r w:rsidRPr="00E01E45">
        <w:rPr>
          <w:rFonts w:ascii="Arial" w:hAnsi="Arial" w:cs="Arial"/>
          <w:sz w:val="24"/>
          <w:szCs w:val="24"/>
          <w:vertAlign w:val="subscript"/>
        </w:rPr>
        <w:t>2</w:t>
      </w:r>
      <w:r>
        <w:rPr>
          <w:rFonts w:ascii="Arial" w:hAnsi="Arial" w:cs="Arial"/>
          <w:sz w:val="24"/>
          <w:szCs w:val="24"/>
        </w:rPr>
        <w:t>), in %</w:t>
      </w:r>
    </w:p>
    <w:p w14:paraId="1CA66DA6" w14:textId="77777777" w:rsidR="00932742" w:rsidRPr="00E01E45" w:rsidRDefault="00932742" w:rsidP="00932742">
      <w:pPr>
        <w:pStyle w:val="ListParagraph"/>
        <w:numPr>
          <w:ilvl w:val="0"/>
          <w:numId w:val="6"/>
        </w:numPr>
        <w:spacing w:after="120" w:line="288" w:lineRule="auto"/>
        <w:rPr>
          <w:rFonts w:ascii="Arial" w:hAnsi="Arial" w:cs="Arial"/>
          <w:sz w:val="24"/>
          <w:szCs w:val="24"/>
        </w:rPr>
      </w:pPr>
      <w:r>
        <w:rPr>
          <w:rFonts w:ascii="Arial" w:hAnsi="Arial" w:cs="Arial"/>
          <w:sz w:val="24"/>
          <w:szCs w:val="24"/>
        </w:rPr>
        <w:t>Level of consciousness, using the Glasgow Coma Scale (GCS)</w:t>
      </w:r>
    </w:p>
    <w:p w14:paraId="37C94A01" w14:textId="77777777" w:rsidR="00932742" w:rsidRDefault="00932742" w:rsidP="00932742">
      <w:pPr>
        <w:spacing w:after="120" w:line="288" w:lineRule="auto"/>
        <w:rPr>
          <w:rFonts w:ascii="Arial" w:hAnsi="Arial" w:cs="Arial"/>
        </w:rPr>
      </w:pPr>
      <w:r w:rsidRPr="00E01E45">
        <w:rPr>
          <w:rFonts w:ascii="Arial" w:hAnsi="Arial" w:cs="Arial"/>
        </w:rPr>
        <w:t>The following laboratory test results</w:t>
      </w:r>
      <w:r>
        <w:rPr>
          <w:rFonts w:ascii="Arial" w:hAnsi="Arial" w:cs="Arial"/>
        </w:rPr>
        <w:t xml:space="preserve"> were included in the list</w:t>
      </w:r>
      <w:r w:rsidRPr="00E01E45">
        <w:rPr>
          <w:rFonts w:ascii="Arial" w:hAnsi="Arial" w:cs="Arial"/>
        </w:rPr>
        <w:t>:</w:t>
      </w:r>
    </w:p>
    <w:p w14:paraId="4028D3E4" w14:textId="77777777" w:rsidR="00932742" w:rsidRDefault="00932742" w:rsidP="00932742">
      <w:pPr>
        <w:pStyle w:val="ListParagraph"/>
        <w:numPr>
          <w:ilvl w:val="0"/>
          <w:numId w:val="8"/>
        </w:numPr>
        <w:spacing w:before="120" w:line="288" w:lineRule="auto"/>
        <w:jc w:val="both"/>
        <w:rPr>
          <w:rFonts w:ascii="Arial" w:hAnsi="Arial" w:cs="Arial"/>
          <w:sz w:val="24"/>
          <w:szCs w:val="24"/>
        </w:rPr>
      </w:pPr>
      <w:r>
        <w:rPr>
          <w:rFonts w:ascii="Arial" w:hAnsi="Arial" w:cs="Arial"/>
          <w:sz w:val="24"/>
          <w:szCs w:val="24"/>
        </w:rPr>
        <w:t>Alveolar-arterial oxygen partial pressure gradient (AaDO</w:t>
      </w:r>
      <w:r w:rsidRPr="00D51BF4">
        <w:rPr>
          <w:rFonts w:ascii="Arial" w:hAnsi="Arial" w:cs="Arial"/>
          <w:sz w:val="24"/>
          <w:szCs w:val="24"/>
          <w:vertAlign w:val="subscript"/>
        </w:rPr>
        <w:t>2</w:t>
      </w:r>
      <w:r>
        <w:rPr>
          <w:rFonts w:ascii="Arial" w:hAnsi="Arial" w:cs="Arial"/>
          <w:sz w:val="24"/>
          <w:szCs w:val="24"/>
        </w:rPr>
        <w:t>), in kPa</w:t>
      </w:r>
    </w:p>
    <w:p w14:paraId="7955AF43" w14:textId="77777777" w:rsidR="00932742" w:rsidRPr="008C0842" w:rsidRDefault="00932742" w:rsidP="00932742">
      <w:pPr>
        <w:pStyle w:val="ListParagraph"/>
        <w:numPr>
          <w:ilvl w:val="0"/>
          <w:numId w:val="8"/>
        </w:numPr>
        <w:spacing w:before="120" w:line="288" w:lineRule="auto"/>
        <w:jc w:val="both"/>
        <w:rPr>
          <w:rFonts w:ascii="Arial" w:hAnsi="Arial" w:cs="Arial"/>
          <w:sz w:val="24"/>
          <w:szCs w:val="24"/>
        </w:rPr>
      </w:pPr>
      <w:r w:rsidRPr="00E01E45">
        <w:rPr>
          <w:rFonts w:ascii="Arial" w:hAnsi="Arial" w:cs="Arial"/>
          <w:sz w:val="24"/>
          <w:szCs w:val="24"/>
        </w:rPr>
        <w:t>Albumin</w:t>
      </w:r>
      <w:r>
        <w:rPr>
          <w:rFonts w:ascii="Arial" w:hAnsi="Arial" w:cs="Arial"/>
          <w:sz w:val="24"/>
          <w:szCs w:val="24"/>
        </w:rPr>
        <w:t>, in</w:t>
      </w:r>
      <w:r w:rsidRPr="00E01E45">
        <w:rPr>
          <w:rFonts w:ascii="Arial" w:hAnsi="Arial" w:cs="Arial"/>
          <w:sz w:val="24"/>
          <w:szCs w:val="24"/>
        </w:rPr>
        <w:t xml:space="preserve"> g/</w:t>
      </w:r>
      <w:r>
        <w:rPr>
          <w:rFonts w:ascii="Arial" w:hAnsi="Arial" w:cs="Arial"/>
          <w:sz w:val="24"/>
          <w:szCs w:val="24"/>
        </w:rPr>
        <w:t>L</w:t>
      </w:r>
    </w:p>
    <w:p w14:paraId="67318A95" w14:textId="77777777" w:rsidR="00932742" w:rsidRPr="00B3795F" w:rsidRDefault="00932742" w:rsidP="00932742">
      <w:pPr>
        <w:pStyle w:val="ListParagraph"/>
        <w:numPr>
          <w:ilvl w:val="0"/>
          <w:numId w:val="8"/>
        </w:numPr>
        <w:spacing w:before="120" w:line="288" w:lineRule="auto"/>
        <w:jc w:val="both"/>
        <w:rPr>
          <w:rFonts w:ascii="Arial" w:hAnsi="Arial" w:cs="Arial"/>
          <w:sz w:val="24"/>
          <w:szCs w:val="24"/>
        </w:rPr>
      </w:pPr>
      <w:r>
        <w:rPr>
          <w:rFonts w:ascii="Arial" w:hAnsi="Arial" w:cs="Arial"/>
          <w:sz w:val="24"/>
          <w:szCs w:val="24"/>
        </w:rPr>
        <w:t>B</w:t>
      </w:r>
      <w:r w:rsidRPr="00E01E45">
        <w:rPr>
          <w:rFonts w:ascii="Arial" w:hAnsi="Arial" w:cs="Arial"/>
          <w:sz w:val="24"/>
          <w:szCs w:val="24"/>
        </w:rPr>
        <w:t>ilirubin</w:t>
      </w:r>
      <w:r>
        <w:rPr>
          <w:rFonts w:ascii="Arial" w:hAnsi="Arial" w:cs="Arial"/>
          <w:sz w:val="24"/>
          <w:szCs w:val="24"/>
        </w:rPr>
        <w:t xml:space="preserve"> (total), in </w:t>
      </w:r>
      <w:r>
        <w:rPr>
          <w:rFonts w:ascii="Arial" w:hAnsi="Arial" w:cs="Arial"/>
          <w:sz w:val="24"/>
          <w:szCs w:val="24"/>
        </w:rPr>
        <w:sym w:font="Symbol" w:char="F06D"/>
      </w:r>
      <w:r w:rsidRPr="00E01E45">
        <w:rPr>
          <w:rFonts w:ascii="Arial" w:hAnsi="Arial" w:cs="Arial"/>
          <w:sz w:val="24"/>
          <w:szCs w:val="24"/>
        </w:rPr>
        <w:t>mol/L</w:t>
      </w:r>
    </w:p>
    <w:p w14:paraId="729E7009" w14:textId="77777777" w:rsidR="00932742" w:rsidRPr="00B3795F" w:rsidRDefault="00932742" w:rsidP="00932742">
      <w:pPr>
        <w:pStyle w:val="ListParagraph"/>
        <w:numPr>
          <w:ilvl w:val="0"/>
          <w:numId w:val="8"/>
        </w:numPr>
        <w:spacing w:before="120" w:line="288" w:lineRule="auto"/>
        <w:jc w:val="both"/>
        <w:rPr>
          <w:rFonts w:ascii="Arial" w:hAnsi="Arial" w:cs="Arial"/>
          <w:sz w:val="24"/>
          <w:szCs w:val="24"/>
        </w:rPr>
      </w:pPr>
      <w:r w:rsidRPr="00E01E45">
        <w:rPr>
          <w:rFonts w:ascii="Arial" w:hAnsi="Arial" w:cs="Arial"/>
          <w:sz w:val="24"/>
          <w:szCs w:val="24"/>
        </w:rPr>
        <w:t>Calcium</w:t>
      </w:r>
      <w:r>
        <w:rPr>
          <w:rFonts w:ascii="Arial" w:hAnsi="Arial" w:cs="Arial"/>
          <w:sz w:val="24"/>
          <w:szCs w:val="24"/>
        </w:rPr>
        <w:t xml:space="preserve"> (adjusted), in mmol/</w:t>
      </w:r>
      <w:r w:rsidRPr="00E01E45">
        <w:rPr>
          <w:rFonts w:ascii="Arial" w:hAnsi="Arial" w:cs="Arial"/>
          <w:sz w:val="24"/>
          <w:szCs w:val="24"/>
        </w:rPr>
        <w:t>L</w:t>
      </w:r>
    </w:p>
    <w:p w14:paraId="433CF76A" w14:textId="77777777" w:rsidR="00932742" w:rsidRDefault="00932742" w:rsidP="00932742">
      <w:pPr>
        <w:pStyle w:val="ListParagraph"/>
        <w:numPr>
          <w:ilvl w:val="0"/>
          <w:numId w:val="8"/>
        </w:numPr>
        <w:spacing w:before="120" w:line="288" w:lineRule="auto"/>
        <w:jc w:val="both"/>
        <w:rPr>
          <w:rFonts w:ascii="Arial" w:hAnsi="Arial" w:cs="Arial"/>
          <w:sz w:val="24"/>
          <w:szCs w:val="24"/>
        </w:rPr>
      </w:pPr>
      <w:r>
        <w:rPr>
          <w:rFonts w:ascii="Arial" w:hAnsi="Arial" w:cs="Arial"/>
          <w:sz w:val="24"/>
          <w:szCs w:val="24"/>
        </w:rPr>
        <w:t xml:space="preserve">Creatinine, in </w:t>
      </w:r>
      <w:r w:rsidRPr="00E01E45">
        <w:rPr>
          <w:rFonts w:ascii="Arial" w:hAnsi="Arial" w:cs="Arial"/>
          <w:sz w:val="24"/>
          <w:szCs w:val="24"/>
        </w:rPr>
        <w:t>mmol/L</w:t>
      </w:r>
    </w:p>
    <w:p w14:paraId="14EC77F3" w14:textId="77777777" w:rsidR="00932742" w:rsidRDefault="00932742" w:rsidP="00932742">
      <w:pPr>
        <w:pStyle w:val="ListParagraph"/>
        <w:numPr>
          <w:ilvl w:val="0"/>
          <w:numId w:val="8"/>
        </w:numPr>
        <w:spacing w:before="120" w:line="288" w:lineRule="auto"/>
        <w:jc w:val="both"/>
        <w:rPr>
          <w:rFonts w:ascii="Arial" w:hAnsi="Arial" w:cs="Arial"/>
          <w:sz w:val="24"/>
          <w:szCs w:val="24"/>
        </w:rPr>
      </w:pPr>
      <w:r w:rsidRPr="00E01E45">
        <w:rPr>
          <w:rFonts w:ascii="Arial" w:hAnsi="Arial" w:cs="Arial"/>
          <w:sz w:val="24"/>
          <w:szCs w:val="24"/>
        </w:rPr>
        <w:t>C-reactive protein</w:t>
      </w:r>
      <w:r>
        <w:rPr>
          <w:rFonts w:ascii="Arial" w:hAnsi="Arial" w:cs="Arial"/>
          <w:sz w:val="24"/>
          <w:szCs w:val="24"/>
        </w:rPr>
        <w:t xml:space="preserve"> (CRP), in</w:t>
      </w:r>
      <w:r w:rsidRPr="00E01E45">
        <w:rPr>
          <w:rFonts w:ascii="Arial" w:hAnsi="Arial" w:cs="Arial"/>
          <w:sz w:val="24"/>
          <w:szCs w:val="24"/>
        </w:rPr>
        <w:t xml:space="preserve"> mg</w:t>
      </w:r>
      <w:r>
        <w:rPr>
          <w:rFonts w:ascii="Arial" w:hAnsi="Arial" w:cs="Arial"/>
          <w:sz w:val="24"/>
          <w:szCs w:val="24"/>
        </w:rPr>
        <w:t>/</w:t>
      </w:r>
      <w:r w:rsidRPr="00E01E45">
        <w:rPr>
          <w:rFonts w:ascii="Arial" w:hAnsi="Arial" w:cs="Arial"/>
          <w:sz w:val="24"/>
          <w:szCs w:val="24"/>
        </w:rPr>
        <w:t>L</w:t>
      </w:r>
    </w:p>
    <w:p w14:paraId="4EC261F8" w14:textId="77777777" w:rsidR="00932742" w:rsidRDefault="00932742" w:rsidP="00932742">
      <w:pPr>
        <w:pStyle w:val="ListParagraph"/>
        <w:numPr>
          <w:ilvl w:val="0"/>
          <w:numId w:val="8"/>
        </w:numPr>
        <w:spacing w:before="120" w:line="288" w:lineRule="auto"/>
        <w:jc w:val="both"/>
        <w:rPr>
          <w:rFonts w:ascii="Arial" w:hAnsi="Arial" w:cs="Arial"/>
          <w:sz w:val="24"/>
          <w:szCs w:val="24"/>
        </w:rPr>
      </w:pPr>
      <w:r>
        <w:rPr>
          <w:rFonts w:ascii="Arial" w:hAnsi="Arial" w:cs="Arial"/>
          <w:sz w:val="24"/>
          <w:szCs w:val="24"/>
        </w:rPr>
        <w:t>Haematocrit (HCT), in %</w:t>
      </w:r>
    </w:p>
    <w:p w14:paraId="123545E2" w14:textId="77777777" w:rsidR="00932742" w:rsidRDefault="00932742" w:rsidP="00932742">
      <w:pPr>
        <w:pStyle w:val="ListParagraph"/>
        <w:numPr>
          <w:ilvl w:val="0"/>
          <w:numId w:val="8"/>
        </w:numPr>
        <w:spacing w:before="120" w:after="120" w:line="288" w:lineRule="auto"/>
        <w:jc w:val="both"/>
        <w:rPr>
          <w:rFonts w:ascii="Arial" w:hAnsi="Arial" w:cs="Arial"/>
          <w:sz w:val="24"/>
          <w:szCs w:val="24"/>
        </w:rPr>
      </w:pPr>
      <w:r w:rsidRPr="00E01E45">
        <w:rPr>
          <w:rFonts w:ascii="Arial" w:hAnsi="Arial" w:cs="Arial"/>
          <w:sz w:val="24"/>
          <w:szCs w:val="24"/>
        </w:rPr>
        <w:t>Haemoglobin</w:t>
      </w:r>
      <w:r>
        <w:rPr>
          <w:rFonts w:ascii="Arial" w:hAnsi="Arial" w:cs="Arial"/>
          <w:sz w:val="24"/>
          <w:szCs w:val="24"/>
        </w:rPr>
        <w:t xml:space="preserve"> (HGB), in </w:t>
      </w:r>
      <w:r w:rsidRPr="00E01E45">
        <w:rPr>
          <w:rFonts w:ascii="Arial" w:hAnsi="Arial" w:cs="Arial"/>
          <w:sz w:val="24"/>
          <w:szCs w:val="24"/>
        </w:rPr>
        <w:t>g/dL</w:t>
      </w:r>
    </w:p>
    <w:p w14:paraId="20C699F6" w14:textId="77777777" w:rsidR="00932742" w:rsidRPr="00E01E45" w:rsidRDefault="00932742" w:rsidP="00932742">
      <w:pPr>
        <w:pStyle w:val="ListParagraph"/>
        <w:numPr>
          <w:ilvl w:val="0"/>
          <w:numId w:val="8"/>
        </w:numPr>
        <w:spacing w:before="120" w:after="120" w:line="288" w:lineRule="auto"/>
        <w:jc w:val="both"/>
        <w:rPr>
          <w:rFonts w:ascii="Arial" w:hAnsi="Arial" w:cs="Arial"/>
          <w:sz w:val="24"/>
          <w:szCs w:val="24"/>
        </w:rPr>
      </w:pPr>
      <w:r>
        <w:rPr>
          <w:rFonts w:ascii="Arial" w:hAnsi="Arial" w:cs="Arial"/>
          <w:sz w:val="24"/>
          <w:szCs w:val="24"/>
        </w:rPr>
        <w:t>Lactate, in mmol/L</w:t>
      </w:r>
    </w:p>
    <w:p w14:paraId="7E0D484E" w14:textId="77777777" w:rsidR="00932742" w:rsidRDefault="00932742" w:rsidP="00932742">
      <w:pPr>
        <w:pStyle w:val="ListParagraph"/>
        <w:numPr>
          <w:ilvl w:val="0"/>
          <w:numId w:val="8"/>
        </w:numPr>
        <w:spacing w:before="120" w:after="120" w:line="288" w:lineRule="auto"/>
        <w:jc w:val="both"/>
        <w:rPr>
          <w:rFonts w:ascii="Arial" w:hAnsi="Arial" w:cs="Arial"/>
          <w:sz w:val="24"/>
          <w:szCs w:val="24"/>
        </w:rPr>
      </w:pPr>
      <w:r w:rsidRPr="00B3795F">
        <w:rPr>
          <w:rFonts w:ascii="Arial" w:hAnsi="Arial" w:cs="Arial"/>
          <w:sz w:val="24"/>
          <w:szCs w:val="24"/>
        </w:rPr>
        <w:t>Mean corpuscular volume</w:t>
      </w:r>
      <w:r>
        <w:rPr>
          <w:rFonts w:ascii="Arial" w:hAnsi="Arial" w:cs="Arial"/>
          <w:sz w:val="24"/>
          <w:szCs w:val="24"/>
        </w:rPr>
        <w:t xml:space="preserve"> (MCV), in </w:t>
      </w:r>
      <w:proofErr w:type="spellStart"/>
      <w:r w:rsidRPr="00B3795F">
        <w:rPr>
          <w:rFonts w:ascii="Arial" w:hAnsi="Arial" w:cs="Arial"/>
          <w:sz w:val="24"/>
          <w:szCs w:val="24"/>
        </w:rPr>
        <w:t>fL</w:t>
      </w:r>
      <w:proofErr w:type="spellEnd"/>
    </w:p>
    <w:p w14:paraId="5E9BE5A6" w14:textId="0E30A451" w:rsidR="00932742" w:rsidRDefault="00932742" w:rsidP="00932742">
      <w:pPr>
        <w:pStyle w:val="ListParagraph"/>
        <w:numPr>
          <w:ilvl w:val="0"/>
          <w:numId w:val="8"/>
        </w:numPr>
        <w:spacing w:before="120" w:after="120" w:line="288" w:lineRule="auto"/>
        <w:jc w:val="both"/>
        <w:rPr>
          <w:rFonts w:ascii="Arial" w:hAnsi="Arial" w:cs="Arial"/>
          <w:sz w:val="24"/>
          <w:szCs w:val="24"/>
        </w:rPr>
      </w:pPr>
      <w:r>
        <w:rPr>
          <w:rFonts w:ascii="Arial" w:hAnsi="Arial" w:cs="Arial"/>
          <w:sz w:val="24"/>
          <w:szCs w:val="24"/>
        </w:rPr>
        <w:t xml:space="preserve">Ratio of partial pressure of </w:t>
      </w:r>
      <w:proofErr w:type="gramStart"/>
      <w:r>
        <w:rPr>
          <w:rFonts w:ascii="Arial" w:hAnsi="Arial" w:cs="Arial"/>
          <w:sz w:val="24"/>
          <w:szCs w:val="24"/>
        </w:rPr>
        <w:t>oxygen :</w:t>
      </w:r>
      <w:proofErr w:type="gramEnd"/>
      <w:r>
        <w:rPr>
          <w:rFonts w:ascii="Arial" w:hAnsi="Arial" w:cs="Arial"/>
          <w:sz w:val="24"/>
          <w:szCs w:val="24"/>
        </w:rPr>
        <w:t xml:space="preserve"> fraction of inspired oxygen (PaO</w:t>
      </w:r>
      <w:r w:rsidRPr="00FC2E69">
        <w:rPr>
          <w:rFonts w:ascii="Arial" w:hAnsi="Arial" w:cs="Arial"/>
          <w:sz w:val="24"/>
          <w:szCs w:val="24"/>
          <w:vertAlign w:val="subscript"/>
        </w:rPr>
        <w:t>2</w:t>
      </w:r>
      <w:r>
        <w:rPr>
          <w:rFonts w:ascii="Arial" w:hAnsi="Arial" w:cs="Arial"/>
          <w:sz w:val="24"/>
          <w:szCs w:val="24"/>
        </w:rPr>
        <w:t>/FiO</w:t>
      </w:r>
      <w:r w:rsidRPr="00FC2E69">
        <w:rPr>
          <w:rFonts w:ascii="Arial" w:hAnsi="Arial" w:cs="Arial"/>
          <w:sz w:val="24"/>
          <w:szCs w:val="24"/>
          <w:vertAlign w:val="subscript"/>
        </w:rPr>
        <w:t>2</w:t>
      </w:r>
      <w:r>
        <w:rPr>
          <w:rFonts w:ascii="Arial" w:hAnsi="Arial" w:cs="Arial"/>
          <w:sz w:val="24"/>
          <w:szCs w:val="24"/>
        </w:rPr>
        <w:t>), in kPa</w:t>
      </w:r>
    </w:p>
    <w:p w14:paraId="1DC60153" w14:textId="77777777" w:rsidR="00932742" w:rsidRPr="00B3795F" w:rsidRDefault="00932742" w:rsidP="00932742">
      <w:pPr>
        <w:pStyle w:val="ListParagraph"/>
        <w:numPr>
          <w:ilvl w:val="0"/>
          <w:numId w:val="8"/>
        </w:numPr>
        <w:spacing w:before="120" w:after="120" w:line="288" w:lineRule="auto"/>
        <w:jc w:val="both"/>
        <w:rPr>
          <w:rFonts w:ascii="Arial" w:hAnsi="Arial" w:cs="Arial"/>
          <w:sz w:val="24"/>
          <w:szCs w:val="24"/>
        </w:rPr>
      </w:pPr>
      <w:r>
        <w:rPr>
          <w:rFonts w:ascii="Arial" w:hAnsi="Arial" w:cs="Arial"/>
          <w:sz w:val="24"/>
          <w:szCs w:val="24"/>
        </w:rPr>
        <w:t>pH</w:t>
      </w:r>
    </w:p>
    <w:p w14:paraId="502D95D5" w14:textId="77777777" w:rsidR="00932742" w:rsidRDefault="00932742" w:rsidP="00932742">
      <w:pPr>
        <w:pStyle w:val="ListParagraph"/>
        <w:numPr>
          <w:ilvl w:val="0"/>
          <w:numId w:val="8"/>
        </w:numPr>
        <w:spacing w:before="120" w:after="120" w:line="288" w:lineRule="auto"/>
        <w:jc w:val="both"/>
        <w:rPr>
          <w:rFonts w:ascii="Arial" w:hAnsi="Arial" w:cs="Arial"/>
          <w:sz w:val="24"/>
          <w:szCs w:val="24"/>
        </w:rPr>
      </w:pPr>
      <w:r>
        <w:rPr>
          <w:rFonts w:ascii="Arial" w:hAnsi="Arial" w:cs="Arial"/>
          <w:sz w:val="24"/>
          <w:szCs w:val="24"/>
        </w:rPr>
        <w:t>P</w:t>
      </w:r>
      <w:r w:rsidRPr="00E01E45">
        <w:rPr>
          <w:rFonts w:ascii="Arial" w:hAnsi="Arial" w:cs="Arial"/>
          <w:sz w:val="24"/>
          <w:szCs w:val="24"/>
        </w:rPr>
        <w:t>latelet count</w:t>
      </w:r>
      <w:r>
        <w:rPr>
          <w:rFonts w:ascii="Arial" w:hAnsi="Arial" w:cs="Arial"/>
          <w:sz w:val="24"/>
          <w:szCs w:val="24"/>
        </w:rPr>
        <w:t xml:space="preserve">, in </w:t>
      </w:r>
      <w:r w:rsidRPr="00E01E45">
        <w:rPr>
          <w:rFonts w:ascii="Arial" w:hAnsi="Arial" w:cs="Arial"/>
          <w:sz w:val="24"/>
          <w:szCs w:val="24"/>
        </w:rPr>
        <w:t>10</w:t>
      </w:r>
      <w:r w:rsidRPr="00E01E45">
        <w:rPr>
          <w:rFonts w:ascii="Arial" w:hAnsi="Arial" w:cs="Arial"/>
          <w:sz w:val="24"/>
          <w:szCs w:val="24"/>
          <w:vertAlign w:val="superscript"/>
        </w:rPr>
        <w:t>9</w:t>
      </w:r>
      <w:r>
        <w:rPr>
          <w:rFonts w:ascii="Arial" w:hAnsi="Arial" w:cs="Arial"/>
          <w:sz w:val="24"/>
          <w:szCs w:val="24"/>
        </w:rPr>
        <w:t xml:space="preserve"> cells/L</w:t>
      </w:r>
    </w:p>
    <w:p w14:paraId="7FD9ED8F" w14:textId="77777777" w:rsidR="00932742" w:rsidRDefault="00932742" w:rsidP="00932742">
      <w:pPr>
        <w:pStyle w:val="ListParagraph"/>
        <w:numPr>
          <w:ilvl w:val="0"/>
          <w:numId w:val="8"/>
        </w:numPr>
        <w:spacing w:before="120" w:after="120" w:line="288" w:lineRule="auto"/>
        <w:jc w:val="both"/>
        <w:rPr>
          <w:rFonts w:ascii="Arial" w:hAnsi="Arial" w:cs="Arial"/>
          <w:sz w:val="24"/>
          <w:szCs w:val="24"/>
        </w:rPr>
      </w:pPr>
      <w:r w:rsidRPr="00E01E45">
        <w:rPr>
          <w:rFonts w:ascii="Arial" w:hAnsi="Arial" w:cs="Arial"/>
          <w:sz w:val="24"/>
          <w:szCs w:val="24"/>
        </w:rPr>
        <w:lastRenderedPageBreak/>
        <w:t>Potassium</w:t>
      </w:r>
      <w:r>
        <w:rPr>
          <w:rFonts w:ascii="Arial" w:hAnsi="Arial" w:cs="Arial"/>
          <w:sz w:val="24"/>
          <w:szCs w:val="24"/>
        </w:rPr>
        <w:t xml:space="preserve">, in </w:t>
      </w:r>
      <w:r w:rsidRPr="00E01E45">
        <w:rPr>
          <w:rFonts w:ascii="Arial" w:hAnsi="Arial" w:cs="Arial"/>
          <w:sz w:val="24"/>
          <w:szCs w:val="24"/>
        </w:rPr>
        <w:t>mmol/L</w:t>
      </w:r>
    </w:p>
    <w:p w14:paraId="667B7757" w14:textId="77777777" w:rsidR="00932742" w:rsidRPr="00B3795F" w:rsidRDefault="00932742" w:rsidP="00932742">
      <w:pPr>
        <w:pStyle w:val="ListParagraph"/>
        <w:numPr>
          <w:ilvl w:val="0"/>
          <w:numId w:val="8"/>
        </w:numPr>
        <w:spacing w:before="120" w:after="120" w:line="288" w:lineRule="auto"/>
        <w:jc w:val="both"/>
        <w:rPr>
          <w:rFonts w:ascii="Arial" w:hAnsi="Arial" w:cs="Arial"/>
          <w:sz w:val="24"/>
          <w:szCs w:val="24"/>
        </w:rPr>
      </w:pPr>
      <w:r>
        <w:rPr>
          <w:rFonts w:ascii="Arial" w:hAnsi="Arial" w:cs="Arial"/>
          <w:sz w:val="24"/>
          <w:szCs w:val="24"/>
        </w:rPr>
        <w:t>S</w:t>
      </w:r>
      <w:r w:rsidRPr="00E01E45">
        <w:rPr>
          <w:rFonts w:ascii="Arial" w:hAnsi="Arial" w:cs="Arial"/>
          <w:sz w:val="24"/>
          <w:szCs w:val="24"/>
        </w:rPr>
        <w:t>odium</w:t>
      </w:r>
      <w:r>
        <w:rPr>
          <w:rFonts w:ascii="Arial" w:hAnsi="Arial" w:cs="Arial"/>
          <w:sz w:val="24"/>
          <w:szCs w:val="24"/>
        </w:rPr>
        <w:t>, in</w:t>
      </w:r>
      <w:r w:rsidRPr="00E01E45">
        <w:rPr>
          <w:rFonts w:ascii="Arial" w:hAnsi="Arial" w:cs="Arial"/>
          <w:sz w:val="24"/>
          <w:szCs w:val="24"/>
        </w:rPr>
        <w:t xml:space="preserve"> mmol/L</w:t>
      </w:r>
    </w:p>
    <w:p w14:paraId="299E3021" w14:textId="77777777" w:rsidR="00932742" w:rsidRDefault="00932742" w:rsidP="00932742">
      <w:pPr>
        <w:pStyle w:val="ListParagraph"/>
        <w:numPr>
          <w:ilvl w:val="0"/>
          <w:numId w:val="8"/>
        </w:numPr>
        <w:spacing w:before="120" w:after="120" w:line="288" w:lineRule="auto"/>
        <w:jc w:val="both"/>
        <w:rPr>
          <w:rFonts w:ascii="Arial" w:hAnsi="Arial" w:cs="Arial"/>
          <w:sz w:val="24"/>
          <w:szCs w:val="24"/>
        </w:rPr>
      </w:pPr>
      <w:r>
        <w:rPr>
          <w:rFonts w:ascii="Arial" w:hAnsi="Arial" w:cs="Arial"/>
          <w:sz w:val="24"/>
          <w:szCs w:val="24"/>
        </w:rPr>
        <w:t>U</w:t>
      </w:r>
      <w:r w:rsidRPr="00E01E45">
        <w:rPr>
          <w:rFonts w:ascii="Arial" w:hAnsi="Arial" w:cs="Arial"/>
          <w:sz w:val="24"/>
          <w:szCs w:val="24"/>
        </w:rPr>
        <w:t>rea</w:t>
      </w:r>
      <w:r>
        <w:rPr>
          <w:rFonts w:ascii="Arial" w:hAnsi="Arial" w:cs="Arial"/>
          <w:sz w:val="24"/>
          <w:szCs w:val="24"/>
        </w:rPr>
        <w:t>, measured in</w:t>
      </w:r>
      <w:r w:rsidRPr="00E01E45">
        <w:rPr>
          <w:rFonts w:ascii="Arial" w:hAnsi="Arial" w:cs="Arial"/>
          <w:sz w:val="24"/>
          <w:szCs w:val="24"/>
        </w:rPr>
        <w:t xml:space="preserve"> </w:t>
      </w:r>
      <w:r>
        <w:rPr>
          <w:rFonts w:ascii="Arial" w:hAnsi="Arial" w:cs="Arial"/>
          <w:sz w:val="24"/>
          <w:szCs w:val="24"/>
        </w:rPr>
        <w:t>mmol/L</w:t>
      </w:r>
    </w:p>
    <w:p w14:paraId="34A92E91" w14:textId="77777777" w:rsidR="00932742" w:rsidRPr="00E01E45" w:rsidRDefault="00932742" w:rsidP="00932742">
      <w:pPr>
        <w:pStyle w:val="ListParagraph"/>
        <w:numPr>
          <w:ilvl w:val="0"/>
          <w:numId w:val="8"/>
        </w:numPr>
        <w:spacing w:before="120" w:after="120" w:line="288" w:lineRule="auto"/>
        <w:jc w:val="both"/>
        <w:rPr>
          <w:rFonts w:ascii="Arial" w:hAnsi="Arial" w:cs="Arial"/>
          <w:sz w:val="24"/>
          <w:szCs w:val="24"/>
        </w:rPr>
      </w:pPr>
      <w:r>
        <w:rPr>
          <w:rFonts w:ascii="Arial" w:hAnsi="Arial" w:cs="Arial"/>
          <w:sz w:val="24"/>
          <w:szCs w:val="24"/>
        </w:rPr>
        <w:t>Urine output, in mL</w:t>
      </w:r>
    </w:p>
    <w:p w14:paraId="596C3C94" w14:textId="77777777" w:rsidR="00932742" w:rsidRPr="00B3795F" w:rsidRDefault="00932742" w:rsidP="00932742">
      <w:pPr>
        <w:pStyle w:val="ListParagraph"/>
        <w:numPr>
          <w:ilvl w:val="0"/>
          <w:numId w:val="8"/>
        </w:numPr>
        <w:spacing w:before="120" w:after="120" w:line="288" w:lineRule="auto"/>
        <w:jc w:val="both"/>
        <w:rPr>
          <w:rFonts w:ascii="Arial" w:hAnsi="Arial" w:cs="Arial"/>
          <w:sz w:val="24"/>
          <w:szCs w:val="24"/>
        </w:rPr>
      </w:pPr>
      <w:r w:rsidRPr="00B3795F">
        <w:rPr>
          <w:rFonts w:ascii="Arial" w:hAnsi="Arial" w:cs="Arial"/>
          <w:sz w:val="24"/>
          <w:szCs w:val="24"/>
        </w:rPr>
        <w:t>White blood cell count</w:t>
      </w:r>
      <w:r>
        <w:rPr>
          <w:rFonts w:ascii="Arial" w:hAnsi="Arial" w:cs="Arial"/>
          <w:sz w:val="24"/>
          <w:szCs w:val="24"/>
        </w:rPr>
        <w:t xml:space="preserve"> (WBC)</w:t>
      </w:r>
      <w:r w:rsidRPr="00B3795F">
        <w:rPr>
          <w:rFonts w:ascii="Arial" w:hAnsi="Arial" w:cs="Arial"/>
          <w:sz w:val="24"/>
          <w:szCs w:val="24"/>
        </w:rPr>
        <w:t>, in 10</w:t>
      </w:r>
      <w:r w:rsidRPr="00B3795F">
        <w:rPr>
          <w:rFonts w:ascii="Arial" w:hAnsi="Arial" w:cs="Arial"/>
          <w:sz w:val="24"/>
          <w:szCs w:val="24"/>
          <w:vertAlign w:val="superscript"/>
        </w:rPr>
        <w:t>9</w:t>
      </w:r>
      <w:r w:rsidRPr="00B3795F">
        <w:rPr>
          <w:rFonts w:ascii="Arial" w:hAnsi="Arial" w:cs="Arial"/>
          <w:sz w:val="24"/>
          <w:szCs w:val="24"/>
        </w:rPr>
        <w:t xml:space="preserve"> cells/L</w:t>
      </w:r>
    </w:p>
    <w:p w14:paraId="79E0CAE2" w14:textId="012A7318" w:rsidR="00932742" w:rsidRDefault="00932742" w:rsidP="00932742">
      <w:pPr>
        <w:pStyle w:val="Normal1"/>
        <w:spacing w:after="120" w:line="288" w:lineRule="auto"/>
        <w:rPr>
          <w:rFonts w:ascii="Arial" w:hAnsi="Arial" w:cs="Arial"/>
        </w:rPr>
      </w:pPr>
      <w:r>
        <w:rPr>
          <w:rFonts w:ascii="Arial" w:hAnsi="Arial" w:cs="Arial"/>
        </w:rPr>
        <w:t>The list also included demographic and administrative-based variables, such as age at admission, gender, number of hours between hospital admission and ICU admission, and the Index of Multiple Deprivation score</w:t>
      </w:r>
      <w:r w:rsidR="00C53C57">
        <w:rPr>
          <w:rFonts w:ascii="Arial" w:hAnsi="Arial" w:cs="Arial"/>
        </w:rPr>
        <w:t xml:space="preserve"> </w:t>
      </w:r>
      <w:r w:rsidR="00C53C57">
        <w:rPr>
          <w:rFonts w:ascii="Arial" w:hAnsi="Arial" w:cs="Arial"/>
        </w:rPr>
        <w:fldChar w:fldCharType="begin" w:fldLock="1"/>
      </w:r>
      <w:r w:rsidR="00896782">
        <w:rPr>
          <w:rFonts w:ascii="Arial" w:hAnsi="Arial" w:cs="Arial"/>
        </w:rPr>
        <w:instrText>ADDIN CSL_CITATION {"citationItems":[{"id":"ITEM-1","itemData":{"author":[{"dropping-particle":"","family":"GOV.UK (National Statistics)","given":"","non-dropping-particle":"","parse-names":false,"suffix":""}],"container-title":"Accessed from https://www.gov.uk/government/statistics/english-indices-of-deprivation-2015; Accessed in January 2018","id":"ITEM-1","issued":{"date-parts":[["0"]]},"title":"English indices of deprivation 2015","type":"webpage"},"uris":["http://www.mendeley.com/documents/?uuid=c90c0ab9-7bde-480d-97c1-693302bd598d"]}],"mendeley":{"formattedCitation":"(1)","plainTextFormattedCitation":"(1)","previouslyFormattedCitation":"(1)"},"properties":{"noteIndex":0},"schema":"https://github.com/citation-style-language/schema/raw/master/csl-citation.json"}</w:instrText>
      </w:r>
      <w:r w:rsidR="00C53C57">
        <w:rPr>
          <w:rFonts w:ascii="Arial" w:hAnsi="Arial" w:cs="Arial"/>
        </w:rPr>
        <w:fldChar w:fldCharType="separate"/>
      </w:r>
      <w:r w:rsidR="00C53C57" w:rsidRPr="00C53C57">
        <w:rPr>
          <w:rFonts w:ascii="Arial" w:hAnsi="Arial" w:cs="Arial"/>
          <w:noProof/>
        </w:rPr>
        <w:t>(1)</w:t>
      </w:r>
      <w:r w:rsidR="00C53C57">
        <w:rPr>
          <w:rFonts w:ascii="Arial" w:hAnsi="Arial" w:cs="Arial"/>
        </w:rPr>
        <w:fldChar w:fldCharType="end"/>
      </w:r>
      <w:r w:rsidR="00C53C57">
        <w:rPr>
          <w:rFonts w:ascii="Arial" w:hAnsi="Arial" w:cs="Arial"/>
        </w:rPr>
        <w:t xml:space="preserve">, </w:t>
      </w:r>
      <w:r>
        <w:rPr>
          <w:rFonts w:ascii="Arial" w:hAnsi="Arial" w:cs="Arial"/>
        </w:rPr>
        <w:t xml:space="preserve">derived for patients with a valid postcode. We included variables related to procedures and treatments, such as the number of vasoactive drugs administered, total fluid balance, administration of insulin, enteral and parenteral nutrition feeding, and the use of mechanical ventilation, tracheostomy and central venous catheters. </w:t>
      </w:r>
    </w:p>
    <w:p w14:paraId="58D2CCB7" w14:textId="7B1C692D" w:rsidR="007364EA" w:rsidRPr="00932742" w:rsidRDefault="007364EA" w:rsidP="00932742">
      <w:pPr>
        <w:pStyle w:val="Normal1"/>
        <w:spacing w:after="120" w:line="288" w:lineRule="auto"/>
        <w:rPr>
          <w:rFonts w:ascii="Arial" w:hAnsi="Arial" w:cs="Arial"/>
        </w:rPr>
      </w:pPr>
      <w:r>
        <w:rPr>
          <w:rFonts w:ascii="Arial" w:hAnsi="Arial" w:cs="Arial"/>
        </w:rPr>
        <w:t xml:space="preserve">To determine the risk of future compound outcome after discharge from the ICU, we derived several features from all candidate variables acquired during the patients’ stay in the ICU. These features are based on the extremes of the variables considered. We generated maximum, minimum and variability (as given by the standard deviation) features for the physiological variables and laboratory test results from different periods of the ICU stay (including the first 24 hours of the patient in the ICU, their last 72, 48, and 24 hours, and/or their entire ICU stay). Additional dichotomous variables were generated if the values were </w:t>
      </w:r>
      <w:r w:rsidR="00EE6FCC">
        <w:rPr>
          <w:rFonts w:ascii="Arial" w:hAnsi="Arial" w:cs="Arial"/>
        </w:rPr>
        <w:t>in</w:t>
      </w:r>
      <w:r>
        <w:rPr>
          <w:rFonts w:ascii="Arial" w:hAnsi="Arial" w:cs="Arial"/>
        </w:rPr>
        <w:t xml:space="preserve"> the upper or lower 5</w:t>
      </w:r>
      <w:r w:rsidRPr="00CB0EE4">
        <w:rPr>
          <w:rFonts w:ascii="Arial" w:hAnsi="Arial" w:cs="Arial"/>
          <w:vertAlign w:val="superscript"/>
        </w:rPr>
        <w:t>th</w:t>
      </w:r>
      <w:r>
        <w:rPr>
          <w:rFonts w:ascii="Arial" w:hAnsi="Arial" w:cs="Arial"/>
        </w:rPr>
        <w:t xml:space="preserve"> percentile of the observed corresponding ranges, in order to account for potential non-linear associations of the variables with the adverse outcomes. Procedure and treatment variables were converted to dichotomous features for indicating whether a given procedure was performed or not, or </w:t>
      </w:r>
      <w:r w:rsidR="00EE6FCC">
        <w:rPr>
          <w:rFonts w:ascii="Arial" w:hAnsi="Arial" w:cs="Arial"/>
        </w:rPr>
        <w:t xml:space="preserve">whether </w:t>
      </w:r>
      <w:r>
        <w:rPr>
          <w:rFonts w:ascii="Arial" w:hAnsi="Arial" w:cs="Arial"/>
        </w:rPr>
        <w:t>a given medication was administered or not, over the entire ICU stay or in the last 24 hours of the ICU stay. This procedure resulted in 161 candidate features (including features from demographic information) for building a prediction model.</w:t>
      </w:r>
    </w:p>
    <w:p w14:paraId="155D7374" w14:textId="77777777" w:rsidR="00F54C87" w:rsidRDefault="00F54C87" w:rsidP="00F54C87">
      <w:pPr>
        <w:pStyle w:val="Heading3"/>
        <w:spacing w:after="120" w:line="288" w:lineRule="auto"/>
      </w:pPr>
      <w:r>
        <w:t>Post-ICU feature representation</w:t>
      </w:r>
      <w:r w:rsidRPr="00D77762">
        <w:rPr>
          <w:u w:val="none"/>
        </w:rPr>
        <w:t>:</w:t>
      </w:r>
      <w:r>
        <w:rPr>
          <w:u w:val="none"/>
        </w:rPr>
        <w:t xml:space="preserve"> </w:t>
      </w:r>
    </w:p>
    <w:p w14:paraId="3D22DB58" w14:textId="42DC0893" w:rsidR="00F54C87" w:rsidRDefault="00F54C87" w:rsidP="00F54C87">
      <w:pPr>
        <w:spacing w:after="120" w:line="288" w:lineRule="auto"/>
        <w:rPr>
          <w:rFonts w:ascii="Arial" w:hAnsi="Arial" w:cs="Arial"/>
          <w:color w:val="000000" w:themeColor="text1"/>
        </w:rPr>
      </w:pPr>
      <w:r>
        <w:rPr>
          <w:rFonts w:ascii="Arial" w:hAnsi="Arial" w:cs="Arial"/>
        </w:rPr>
        <w:t>All vital-sign observations performed after discharge from ICU, as part of routine patient monitoring on acute care wards and collected prospectively for this study, were considered for analysis. Each set of vital signs include heart rate, systolic blood pressure, respiratory rate, body temperature, neurological status assessment using the Alert-Verbal-Painful-Unresponsive (AVPU) scale, peripheral oxygen saturation from pulse oximetry (SpO</w:t>
      </w:r>
      <w:r w:rsidRPr="00FD4EF3">
        <w:rPr>
          <w:rFonts w:ascii="Arial" w:hAnsi="Arial" w:cs="Arial"/>
          <w:vertAlign w:val="subscript"/>
        </w:rPr>
        <w:t>2</w:t>
      </w:r>
      <w:r>
        <w:rPr>
          <w:rFonts w:ascii="Arial" w:hAnsi="Arial" w:cs="Arial"/>
        </w:rPr>
        <w:t>), a record of whether the patient was receiving supplemental oxygen at the time of the SpO</w:t>
      </w:r>
      <w:r w:rsidRPr="00F11F2A">
        <w:rPr>
          <w:rFonts w:ascii="Arial" w:hAnsi="Arial" w:cs="Arial"/>
          <w:vertAlign w:val="subscript"/>
        </w:rPr>
        <w:t>2</w:t>
      </w:r>
      <w:r>
        <w:rPr>
          <w:rFonts w:ascii="Arial" w:hAnsi="Arial" w:cs="Arial"/>
        </w:rPr>
        <w:t xml:space="preserve"> measurement, and the date and time of the observation. </w:t>
      </w:r>
      <w:r>
        <w:rPr>
          <w:rFonts w:ascii="Arial" w:hAnsi="Arial" w:cs="Arial"/>
          <w:color w:val="000000" w:themeColor="text1"/>
        </w:rPr>
        <w:t xml:space="preserve">Vital-sign measurements are typically recorded every 4 or 6 hours throughout the patient’s stay on the ward. At each measurement timestamp, in case of an incomplete vital-sign observation set, we used the most recent value of each variable (i.e., by carrying forward the last measurement). </w:t>
      </w:r>
    </w:p>
    <w:p w14:paraId="4CDC0046" w14:textId="1368AA43" w:rsidR="00932742" w:rsidRDefault="00932742" w:rsidP="00932742">
      <w:pPr>
        <w:pStyle w:val="Normal1"/>
        <w:spacing w:after="120" w:line="288" w:lineRule="auto"/>
        <w:rPr>
          <w:rFonts w:ascii="Arial" w:hAnsi="Arial" w:cs="Arial"/>
        </w:rPr>
      </w:pPr>
    </w:p>
    <w:p w14:paraId="2ED55C70" w14:textId="77777777" w:rsidR="00F54C87" w:rsidRDefault="00F54C87" w:rsidP="00F54C87">
      <w:pPr>
        <w:pStyle w:val="Heading2"/>
        <w:spacing w:after="120" w:line="288" w:lineRule="auto"/>
      </w:pPr>
      <w:r>
        <w:lastRenderedPageBreak/>
        <w:t>Pre-processing and missing data</w:t>
      </w:r>
    </w:p>
    <w:p w14:paraId="4A480D54" w14:textId="77777777" w:rsidR="00F54C87" w:rsidRDefault="00F54C87" w:rsidP="00F54C87">
      <w:pPr>
        <w:spacing w:after="120" w:line="288" w:lineRule="auto"/>
        <w:rPr>
          <w:rFonts w:ascii="Arial" w:hAnsi="Arial" w:cs="Arial"/>
        </w:rPr>
      </w:pPr>
      <w:r>
        <w:rPr>
          <w:rFonts w:ascii="Arial" w:hAnsi="Arial" w:cs="Arial"/>
        </w:rPr>
        <w:t xml:space="preserve">We identified obvious deviations from expected distributions and ranges of the data features using frequency graphs for all numerical and dichotomous features. Possible physiological ranges for the numerical features were defined according to clinical review and expert panel expertise, and values outside these ranges were not included in the analyses. Missing values were imputed with median and mode values from the feature distributions of numerical and dichotomous features, respectively. While other methods were considered, such as multiple imputation, the use of the median and mode was simpler and was deemed sufficient for this work in which the amount of missing data was low. </w:t>
      </w:r>
    </w:p>
    <w:p w14:paraId="493424C9" w14:textId="77777777" w:rsidR="00F54C87" w:rsidRDefault="00F54C87" w:rsidP="00F54C87">
      <w:pPr>
        <w:spacing w:after="120" w:line="288" w:lineRule="auto"/>
        <w:rPr>
          <w:rFonts w:ascii="Arial" w:hAnsi="Arial" w:cs="Arial"/>
        </w:rPr>
      </w:pPr>
      <w:r>
        <w:rPr>
          <w:rFonts w:ascii="Arial" w:hAnsi="Arial" w:cs="Arial"/>
        </w:rPr>
        <w:t>All numerical features were then standardised using a zero-mean, unit-variance transformation (i.e., using the mean and standard deviations from the feature distributions). This prevents features with relatively small changes in their units of measurement (such as temperature) from being dominated by features with relatively large changes (such as blood pressure), thus ensuring that all features have similar dynamic ranges.</w:t>
      </w:r>
    </w:p>
    <w:p w14:paraId="7074019E" w14:textId="77777777" w:rsidR="00F54C87" w:rsidRPr="00F9459E" w:rsidRDefault="00F54C87" w:rsidP="00F54C87">
      <w:pPr>
        <w:spacing w:after="120" w:line="288" w:lineRule="auto"/>
      </w:pPr>
      <w:r>
        <w:rPr>
          <w:rFonts w:ascii="Arial" w:hAnsi="Arial" w:cs="Arial"/>
        </w:rPr>
        <w:t>For both imputation and normalisation, the parameters’ values (for the median, mode, mean and standard deviation) found for the development dataset were used.</w:t>
      </w:r>
      <w:r>
        <w:t xml:space="preserve"> </w:t>
      </w:r>
    </w:p>
    <w:p w14:paraId="3158983E" w14:textId="77777777" w:rsidR="00F54C87" w:rsidRPr="00932742" w:rsidRDefault="00F54C87" w:rsidP="00932742">
      <w:pPr>
        <w:pStyle w:val="Normal1"/>
        <w:spacing w:after="120" w:line="288" w:lineRule="auto"/>
        <w:rPr>
          <w:rFonts w:ascii="Arial" w:hAnsi="Arial" w:cs="Arial"/>
        </w:rPr>
      </w:pPr>
    </w:p>
    <w:p w14:paraId="0D05274D" w14:textId="4D7A9D15" w:rsidR="00F0718A" w:rsidRPr="00932742" w:rsidRDefault="00BC4598" w:rsidP="00F0718A">
      <w:pPr>
        <w:pStyle w:val="Heading2"/>
        <w:spacing w:after="120" w:line="288" w:lineRule="auto"/>
        <w:rPr>
          <w:rFonts w:cs="Arial"/>
        </w:rPr>
      </w:pPr>
      <w:r w:rsidRPr="00932742">
        <w:rPr>
          <w:rFonts w:cs="Arial"/>
        </w:rPr>
        <w:t xml:space="preserve">ICU-based </w:t>
      </w:r>
      <w:r w:rsidR="00A43D48" w:rsidRPr="00932742">
        <w:rPr>
          <w:rFonts w:cs="Arial"/>
        </w:rPr>
        <w:t>m</w:t>
      </w:r>
      <w:r w:rsidRPr="00932742">
        <w:rPr>
          <w:rFonts w:cs="Arial"/>
        </w:rPr>
        <w:t>odel</w:t>
      </w:r>
      <w:r w:rsidR="00F0718A" w:rsidRPr="00932742">
        <w:rPr>
          <w:rFonts w:cs="Arial"/>
        </w:rPr>
        <w:t xml:space="preserve"> (RS</w:t>
      </w:r>
      <w:r w:rsidR="00F0718A" w:rsidRPr="00932742">
        <w:rPr>
          <w:rFonts w:cs="Arial"/>
          <w:vertAlign w:val="subscript"/>
        </w:rPr>
        <w:t>1</w:t>
      </w:r>
      <w:r w:rsidR="00F0718A" w:rsidRPr="00932742">
        <w:rPr>
          <w:rFonts w:cs="Arial"/>
        </w:rPr>
        <w:t>)</w:t>
      </w:r>
    </w:p>
    <w:p w14:paraId="482A46AC" w14:textId="5FD7BE39" w:rsidR="00BC4598" w:rsidRPr="00F54C87" w:rsidRDefault="00BA2B5D" w:rsidP="005E5E26">
      <w:pPr>
        <w:pStyle w:val="Normal1"/>
        <w:spacing w:after="120" w:line="288" w:lineRule="auto"/>
        <w:rPr>
          <w:rFonts w:ascii="Arial" w:hAnsi="Arial" w:cs="Arial"/>
        </w:rPr>
      </w:pPr>
      <w:r w:rsidRPr="00932742">
        <w:rPr>
          <w:rFonts w:ascii="Arial" w:hAnsi="Arial" w:cs="Arial"/>
        </w:rPr>
        <w:t>We used</w:t>
      </w:r>
      <w:r w:rsidR="00BC4598" w:rsidRPr="00932742">
        <w:rPr>
          <w:rFonts w:ascii="Arial" w:hAnsi="Arial" w:cs="Arial"/>
        </w:rPr>
        <w:t xml:space="preserve"> </w:t>
      </w:r>
      <w:r w:rsidR="00716986" w:rsidRPr="00932742">
        <w:rPr>
          <w:rFonts w:ascii="Arial" w:hAnsi="Arial" w:cs="Arial"/>
        </w:rPr>
        <w:t>all</w:t>
      </w:r>
      <w:r w:rsidRPr="00932742">
        <w:rPr>
          <w:rFonts w:ascii="Arial" w:hAnsi="Arial" w:cs="Arial"/>
        </w:rPr>
        <w:t xml:space="preserve"> candidate </w:t>
      </w:r>
      <w:r w:rsidR="00BC4598" w:rsidRPr="00932742">
        <w:rPr>
          <w:rFonts w:ascii="Arial" w:hAnsi="Arial" w:cs="Arial"/>
        </w:rPr>
        <w:t>features derived from the variables acquired during the patients’ stay in the ICU</w:t>
      </w:r>
      <w:r w:rsidRPr="00932742">
        <w:rPr>
          <w:rFonts w:ascii="Arial" w:hAnsi="Arial" w:cs="Arial"/>
        </w:rPr>
        <w:t xml:space="preserve"> to build the first model</w:t>
      </w:r>
      <w:r w:rsidR="00BC4598" w:rsidRPr="00932742">
        <w:rPr>
          <w:rFonts w:ascii="Arial" w:hAnsi="Arial" w:cs="Arial"/>
        </w:rPr>
        <w:t xml:space="preserve">. </w:t>
      </w:r>
      <w:r w:rsidR="00716986" w:rsidRPr="00932742">
        <w:rPr>
          <w:rFonts w:ascii="Arial" w:hAnsi="Arial" w:cs="Arial"/>
        </w:rPr>
        <w:t xml:space="preserve">A </w:t>
      </w:r>
      <w:r w:rsidR="00BC4598" w:rsidRPr="00932742">
        <w:rPr>
          <w:rFonts w:ascii="Arial" w:hAnsi="Arial" w:cs="Arial"/>
        </w:rPr>
        <w:t xml:space="preserve">L1-regularised logistic regression </w:t>
      </w:r>
      <w:r w:rsidR="00710DDE" w:rsidRPr="00932742">
        <w:rPr>
          <w:rFonts w:ascii="Arial" w:hAnsi="Arial" w:cs="Arial"/>
        </w:rPr>
        <w:t xml:space="preserve">using </w:t>
      </w:r>
      <w:r w:rsidR="00BC4598" w:rsidRPr="005C41B0">
        <w:rPr>
          <w:rFonts w:ascii="Arial" w:hAnsi="Arial" w:cs="Arial"/>
        </w:rPr>
        <w:t>the “</w:t>
      </w:r>
      <w:proofErr w:type="spellStart"/>
      <w:r w:rsidR="00BC4598" w:rsidRPr="005C41B0">
        <w:rPr>
          <w:rFonts w:ascii="Arial" w:hAnsi="Arial" w:cs="Arial"/>
        </w:rPr>
        <w:t>glmnet</w:t>
      </w:r>
      <w:proofErr w:type="spellEnd"/>
      <w:r w:rsidR="00BC4598" w:rsidRPr="005C41B0">
        <w:rPr>
          <w:rFonts w:ascii="Arial" w:hAnsi="Arial" w:cs="Arial"/>
        </w:rPr>
        <w:t xml:space="preserve">” package in </w:t>
      </w:r>
      <w:proofErr w:type="spellStart"/>
      <w:r w:rsidR="00BC4598" w:rsidRPr="005C41B0">
        <w:rPr>
          <w:rFonts w:ascii="Arial" w:hAnsi="Arial" w:cs="Arial"/>
        </w:rPr>
        <w:t>Matlab</w:t>
      </w:r>
      <w:proofErr w:type="spellEnd"/>
      <w:r w:rsidR="00710DDE" w:rsidRPr="005C41B0">
        <w:rPr>
          <w:rFonts w:ascii="Arial" w:hAnsi="Arial" w:cs="Arial"/>
        </w:rPr>
        <w:t xml:space="preserve"> (</w:t>
      </w:r>
      <w:proofErr w:type="spellStart"/>
      <w:r w:rsidR="00BC4598" w:rsidRPr="00F54C87">
        <w:rPr>
          <w:rFonts w:ascii="Arial" w:hAnsi="Arial" w:cs="Arial"/>
        </w:rPr>
        <w:t>Mathworks</w:t>
      </w:r>
      <w:proofErr w:type="spellEnd"/>
      <w:r w:rsidR="00BC4598" w:rsidRPr="00F54C87">
        <w:rPr>
          <w:rFonts w:ascii="Arial" w:hAnsi="Arial" w:cs="Arial"/>
        </w:rPr>
        <w:t xml:space="preserve">, Natick, Massachusetts, USA) </w:t>
      </w:r>
      <w:r w:rsidR="00710DDE" w:rsidRPr="00F54C87">
        <w:rPr>
          <w:rFonts w:ascii="Arial" w:hAnsi="Arial" w:cs="Arial"/>
        </w:rPr>
        <w:t xml:space="preserve">for predicting the </w:t>
      </w:r>
      <w:r w:rsidR="00550D74" w:rsidRPr="00F54C87">
        <w:rPr>
          <w:rFonts w:ascii="Arial" w:hAnsi="Arial" w:cs="Arial"/>
        </w:rPr>
        <w:t>compound outcome (in-h</w:t>
      </w:r>
      <w:r w:rsidR="00550D74" w:rsidRPr="005C41B0">
        <w:rPr>
          <w:rFonts w:ascii="Arial" w:hAnsi="Arial" w:cs="Arial"/>
        </w:rPr>
        <w:t>ospital death or re-admission to ICU)</w:t>
      </w:r>
      <w:r w:rsidR="00BC4598" w:rsidRPr="00F54C87">
        <w:rPr>
          <w:rFonts w:ascii="Arial" w:hAnsi="Arial" w:cs="Arial"/>
        </w:rPr>
        <w:t xml:space="preserve">. </w:t>
      </w:r>
      <w:r w:rsidR="00946549" w:rsidRPr="00F54C87">
        <w:rPr>
          <w:rFonts w:ascii="Arial" w:hAnsi="Arial" w:cs="Arial"/>
        </w:rPr>
        <w:t>L1-regula</w:t>
      </w:r>
      <w:r w:rsidR="00E02927" w:rsidRPr="00F54C87">
        <w:rPr>
          <w:rFonts w:ascii="Arial" w:hAnsi="Arial" w:cs="Arial"/>
        </w:rPr>
        <w:t xml:space="preserve">risation </w:t>
      </w:r>
      <w:r w:rsidR="00BC4598" w:rsidRPr="00F54C87">
        <w:rPr>
          <w:rFonts w:ascii="Arial" w:hAnsi="Arial" w:cs="Arial"/>
        </w:rPr>
        <w:t>shrinks the less important features’ coefficients to zero thus</w:t>
      </w:r>
      <w:r w:rsidR="00E02927" w:rsidRPr="00F54C87">
        <w:rPr>
          <w:rFonts w:ascii="Arial" w:hAnsi="Arial" w:cs="Arial"/>
        </w:rPr>
        <w:t xml:space="preserve"> effectively </w:t>
      </w:r>
      <w:r w:rsidR="00BC4598" w:rsidRPr="00F54C87">
        <w:rPr>
          <w:rFonts w:ascii="Arial" w:hAnsi="Arial" w:cs="Arial"/>
        </w:rPr>
        <w:t xml:space="preserve">removing </w:t>
      </w:r>
      <w:r w:rsidR="00E02927" w:rsidRPr="00F54C87">
        <w:rPr>
          <w:rFonts w:ascii="Arial" w:hAnsi="Arial" w:cs="Arial"/>
        </w:rPr>
        <w:t>those features</w:t>
      </w:r>
      <w:r w:rsidR="00EC05C4" w:rsidRPr="00F54C87">
        <w:rPr>
          <w:rFonts w:ascii="Arial" w:hAnsi="Arial" w:cs="Arial"/>
        </w:rPr>
        <w:t xml:space="preserve"> that are deemed to be uninformative to the outcome variable.</w:t>
      </w:r>
      <w:r w:rsidR="000512C2" w:rsidRPr="00F54C87">
        <w:rPr>
          <w:rFonts w:ascii="Arial" w:hAnsi="Arial" w:cs="Arial"/>
        </w:rPr>
        <w:t xml:space="preserve"> </w:t>
      </w:r>
      <w:r w:rsidR="00684B99" w:rsidRPr="00F54C87">
        <w:rPr>
          <w:rFonts w:ascii="Arial" w:hAnsi="Arial" w:cs="Arial"/>
        </w:rPr>
        <w:t>We estimated the regularisation parameter using LASSO (Least Absolute Shrinkage and Selection Operator) regression</w:t>
      </w:r>
      <w:r w:rsidR="009C40C2" w:rsidRPr="00F54C87">
        <w:rPr>
          <w:rFonts w:ascii="Arial" w:hAnsi="Arial" w:cs="Arial"/>
        </w:rPr>
        <w:t xml:space="preserve"> in a 5-fold cross-validation on the development set</w:t>
      </w:r>
      <w:r w:rsidR="008357A7" w:rsidRPr="00F54C87">
        <w:rPr>
          <w:rFonts w:ascii="Arial" w:hAnsi="Arial" w:cs="Arial"/>
        </w:rPr>
        <w:t>.</w:t>
      </w:r>
    </w:p>
    <w:p w14:paraId="0994655D" w14:textId="67D91417" w:rsidR="008357A7" w:rsidRPr="00F54C87" w:rsidRDefault="008357A7" w:rsidP="005E5E26">
      <w:pPr>
        <w:pStyle w:val="Normal1"/>
        <w:spacing w:after="120" w:line="288" w:lineRule="auto"/>
        <w:rPr>
          <w:rFonts w:ascii="Arial" w:hAnsi="Arial" w:cs="Arial"/>
        </w:rPr>
      </w:pPr>
    </w:p>
    <w:p w14:paraId="1500D9E4" w14:textId="4D7B1AD3" w:rsidR="00A43D48" w:rsidRPr="00F54C87" w:rsidRDefault="00A43D48" w:rsidP="00A43D48">
      <w:pPr>
        <w:pStyle w:val="Heading2"/>
        <w:spacing w:after="120" w:line="288" w:lineRule="auto"/>
        <w:rPr>
          <w:rFonts w:cs="Arial"/>
        </w:rPr>
      </w:pPr>
      <w:r w:rsidRPr="00F54C87">
        <w:rPr>
          <w:rFonts w:cs="Arial"/>
        </w:rPr>
        <w:t>Vital-sign based model (RS</w:t>
      </w:r>
      <w:r w:rsidRPr="00F54C87">
        <w:rPr>
          <w:rFonts w:cs="Arial"/>
          <w:vertAlign w:val="subscript"/>
        </w:rPr>
        <w:t>2</w:t>
      </w:r>
      <w:r w:rsidRPr="00F54C87">
        <w:rPr>
          <w:rFonts w:cs="Arial"/>
        </w:rPr>
        <w:t>)</w:t>
      </w:r>
    </w:p>
    <w:p w14:paraId="26EE08DA" w14:textId="044D5B7D" w:rsidR="00AD3F3A" w:rsidRPr="00932742" w:rsidRDefault="00A43D48" w:rsidP="005E5E26">
      <w:pPr>
        <w:pStyle w:val="Normal1"/>
        <w:spacing w:after="120" w:line="288" w:lineRule="auto"/>
        <w:rPr>
          <w:rFonts w:ascii="Arial" w:hAnsi="Arial" w:cs="Arial"/>
        </w:rPr>
      </w:pPr>
      <w:r w:rsidRPr="00F54C87">
        <w:rPr>
          <w:rFonts w:ascii="Arial" w:hAnsi="Arial" w:cs="Arial"/>
        </w:rPr>
        <w:t>For the second scoring system, RS</w:t>
      </w:r>
      <w:r w:rsidRPr="00F54C87">
        <w:rPr>
          <w:rFonts w:ascii="Arial" w:hAnsi="Arial" w:cs="Arial"/>
          <w:vertAlign w:val="subscript"/>
        </w:rPr>
        <w:t>2</w:t>
      </w:r>
      <w:r w:rsidRPr="00F54C87">
        <w:rPr>
          <w:rFonts w:ascii="Arial" w:hAnsi="Arial" w:cs="Arial"/>
        </w:rPr>
        <w:t xml:space="preserve">, </w:t>
      </w:r>
      <w:r w:rsidR="00490BBD" w:rsidRPr="00F54C87">
        <w:rPr>
          <w:rFonts w:ascii="Arial" w:hAnsi="Arial" w:cs="Arial"/>
        </w:rPr>
        <w:t xml:space="preserve">we used the vital signs (heart rate, respiratory rate, systolic blood pressure, oxygen saturation, and temperature) recorded in hospital after discharge from the ICU. </w:t>
      </w:r>
      <w:r w:rsidR="00D13EF4" w:rsidRPr="00F54C87">
        <w:rPr>
          <w:rFonts w:ascii="Arial" w:hAnsi="Arial" w:cs="Arial"/>
        </w:rPr>
        <w:t xml:space="preserve">For this model, </w:t>
      </w:r>
      <w:r w:rsidRPr="00F54C87">
        <w:rPr>
          <w:rFonts w:ascii="Arial" w:hAnsi="Arial" w:cs="Arial"/>
        </w:rPr>
        <w:t>rather tha</w:t>
      </w:r>
      <w:r w:rsidRPr="00B56350">
        <w:rPr>
          <w:rFonts w:ascii="Arial" w:hAnsi="Arial" w:cs="Arial"/>
        </w:rPr>
        <w:t xml:space="preserve">n a </w:t>
      </w:r>
      <w:r w:rsidRPr="00B56350">
        <w:rPr>
          <w:rFonts w:ascii="Arial" w:hAnsi="Arial" w:cs="Arial"/>
          <w:i/>
          <w:iCs/>
        </w:rPr>
        <w:t>supervised learning approach</w:t>
      </w:r>
      <w:r w:rsidRPr="00F54C87">
        <w:rPr>
          <w:rFonts w:ascii="Arial" w:hAnsi="Arial" w:cs="Arial"/>
        </w:rPr>
        <w:t>, we considered a novelty detection method (or one-class classification method)</w:t>
      </w:r>
      <w:r w:rsidR="00D13EF4" w:rsidRPr="00F54C87">
        <w:rPr>
          <w:rFonts w:ascii="Arial" w:hAnsi="Arial" w:cs="Arial"/>
        </w:rPr>
        <w:t xml:space="preserve">, which </w:t>
      </w:r>
      <w:r w:rsidRPr="00F54C87">
        <w:rPr>
          <w:rFonts w:ascii="Arial" w:hAnsi="Arial" w:cs="Arial"/>
        </w:rPr>
        <w:t>does not require an outcome variable for development</w:t>
      </w:r>
      <w:r w:rsidR="006C1F97">
        <w:rPr>
          <w:rFonts w:ascii="Arial" w:hAnsi="Arial" w:cs="Arial"/>
        </w:rPr>
        <w:t xml:space="preserve"> </w:t>
      </w:r>
      <w:r w:rsidR="006C1F97">
        <w:rPr>
          <w:rFonts w:ascii="Arial" w:hAnsi="Arial" w:cs="Arial"/>
        </w:rPr>
        <w:fldChar w:fldCharType="begin" w:fldLock="1"/>
      </w:r>
      <w:r w:rsidR="00896782">
        <w:rPr>
          <w:rFonts w:ascii="Arial" w:hAnsi="Arial" w:cs="Arial"/>
        </w:rPr>
        <w:instrText>ADDIN CSL_CITATION {"citationItems":[{"id":"ITEM-1","itemData":{"DOI":"10.1016/j.sigpro.2013.12.026","ISSN":"01651684","abstract":"Novelty detection is the task of classifying test data that differ in some respect from the data that are available during training. This may be seen as \"one-class classification\", in which a model is constructed to describe \"normal\" training data. The novelty detection approach is typically used when the quantity of available \"abnormal\" data is insufficient to construct explicit models for non-normal classes. Application includes inference in datasets from critical systems, where the quantity of available normal data is very large, such that \"normality\" may be accurately modelled. In this review we aim to provide an updated and structured investigation of novelty detection research papers that have appeared in the machine learning literature during the last decade. © 2014 Published by Elsevier B.V.","author":[{"dropping-particle":"","family":"Pimentel","given":"Marco A.F.","non-dropping-particle":"","parse-names":false,"suffix":""},{"dropping-particle":"","family":"Clifton","given":"David A.","non-dropping-particle":"","parse-names":false,"suffix":""},{"dropping-particle":"","family":"Clifton","given":"Lei","non-dropping-particle":"","parse-names":false,"suffix":""},{"dropping-particle":"","family":"Tarassenko","given":"Lionel","non-dropping-particle":"","parse-names":false,"suffix":""}],"container-title":"Signal Processing","id":"ITEM-1","issued":{"date-parts":[["2014","6"]]},"page":"215-249","title":"A review of novelty detection","type":"article-journal","volume":"99"},"uris":["http://www.mendeley.com/documents/?uuid=eb2be61d-20f5-4716-b9cf-0bdc5eb1f1ad"]}],"mendeley":{"formattedCitation":"(2)","plainTextFormattedCitation":"(2)","previouslyFormattedCitation":"(2)"},"properties":{"noteIndex":0},"schema":"https://github.com/citation-style-language/schema/raw/master/csl-citation.json"}</w:instrText>
      </w:r>
      <w:r w:rsidR="006C1F97">
        <w:rPr>
          <w:rFonts w:ascii="Arial" w:hAnsi="Arial" w:cs="Arial"/>
        </w:rPr>
        <w:fldChar w:fldCharType="separate"/>
      </w:r>
      <w:r w:rsidR="00C53C57" w:rsidRPr="00C53C57">
        <w:rPr>
          <w:rFonts w:ascii="Arial" w:hAnsi="Arial" w:cs="Arial"/>
          <w:noProof/>
        </w:rPr>
        <w:t>(2)</w:t>
      </w:r>
      <w:r w:rsidR="006C1F97">
        <w:rPr>
          <w:rFonts w:ascii="Arial" w:hAnsi="Arial" w:cs="Arial"/>
        </w:rPr>
        <w:fldChar w:fldCharType="end"/>
      </w:r>
      <w:r w:rsidR="00D13EF4" w:rsidRPr="00932742">
        <w:rPr>
          <w:rFonts w:ascii="Arial" w:hAnsi="Arial" w:cs="Arial"/>
        </w:rPr>
        <w:t xml:space="preserve">. This is </w:t>
      </w:r>
      <w:r w:rsidRPr="00932742">
        <w:rPr>
          <w:rFonts w:ascii="Arial" w:hAnsi="Arial" w:cs="Arial"/>
        </w:rPr>
        <w:t xml:space="preserve">useful where event rates are </w:t>
      </w:r>
      <w:r w:rsidR="00D13EF4" w:rsidRPr="00932742">
        <w:rPr>
          <w:rFonts w:ascii="Arial" w:hAnsi="Arial" w:cs="Arial"/>
        </w:rPr>
        <w:t xml:space="preserve">extremely </w:t>
      </w:r>
      <w:r w:rsidRPr="00932742">
        <w:rPr>
          <w:rFonts w:ascii="Arial" w:hAnsi="Arial" w:cs="Arial"/>
        </w:rPr>
        <w:t>low</w:t>
      </w:r>
      <w:r w:rsidR="00D13EF4" w:rsidRPr="00932742">
        <w:rPr>
          <w:rFonts w:ascii="Arial" w:hAnsi="Arial" w:cs="Arial"/>
        </w:rPr>
        <w:t>,</w:t>
      </w:r>
      <w:r w:rsidRPr="00932742">
        <w:rPr>
          <w:rFonts w:ascii="Arial" w:hAnsi="Arial" w:cs="Arial"/>
        </w:rPr>
        <w:t xml:space="preserve"> or total sample sizes are constrained. </w:t>
      </w:r>
      <w:r w:rsidR="008A3FC5" w:rsidRPr="00F54C87">
        <w:rPr>
          <w:rFonts w:ascii="Arial" w:hAnsi="Arial" w:cs="Arial"/>
        </w:rPr>
        <w:t xml:space="preserve">Similar approaches have been used </w:t>
      </w:r>
      <w:r w:rsidR="00347BDF" w:rsidRPr="00F54C87">
        <w:rPr>
          <w:rFonts w:ascii="Arial" w:hAnsi="Arial" w:cs="Arial"/>
        </w:rPr>
        <w:t>in our previous research</w:t>
      </w:r>
      <w:r w:rsidR="00985D4A">
        <w:rPr>
          <w:rFonts w:ascii="Arial" w:hAnsi="Arial" w:cs="Arial"/>
        </w:rPr>
        <w:t xml:space="preserve"> </w:t>
      </w:r>
      <w:r w:rsidR="00A16B68">
        <w:rPr>
          <w:rFonts w:ascii="Arial" w:hAnsi="Arial" w:cs="Arial"/>
        </w:rPr>
        <w:fldChar w:fldCharType="begin" w:fldLock="1"/>
      </w:r>
      <w:r w:rsidR="00896782">
        <w:rPr>
          <w:rFonts w:ascii="Arial" w:hAnsi="Arial" w:cs="Arial"/>
        </w:rPr>
        <w:instrText>ADDIN CSL_CITATION {"citationItems":[{"id":"ITEM-1","itemData":{"DOI":"10.1111/j.1365-2044.2006.04818.x","ISSN":"00032409","PMID":"17042839","abstract":"We conducted a randomised controlled trial of mandated five-channel physiological monitoring vs standard care, in acute medical and surgical wards in a single UK teaching hospital. In all, 402 high-risk medical and surgical patients were studied. The primary outcome was the proportion of patients experiencing one or more major adverse events, including urgent staff calls, changes to higher care levels, cardiac arrests or death, in 96h following randomisation. Secondary outcomes were the proportion of patients requiring acute treatment changes, and the 30-day and hospital mortality. In the 96h following randomisation, 113 (56%) patients in the monitored arm and 116 (58%) in the control arm (OR 0.94, 95% CI 0.63-1.40, p = 0.76) had a major event. An acute change in treatment was necessary in 107 (53%) monitored patients and 101 (50%) control patients (OR 0.55, 95% CI 0.87-1.29). Thirty-four (17%) monitored patients and 35 (17%) control patients died within 30 days. Thirteen patients in the control group received full five-channel monitoring at the request of the ward staff. We conclude that mandated electronic vital signs monitoring in high risk medical and surgical patients has no effect on adverse events or mortality. © 2006 The Authors Journal compilation 2006 The Association of Anaesthetists of Great Britain and Ireland.","author":[{"dropping-particle":"","family":"Watkinson","given":"P. J.","non-dropping-particle":"","parse-names":false,"suffix":""},{"dropping-particle":"","family":"Barber","given":"V. S.","non-dropping-particle":"","parse-names":false,"suffix":""},{"dropping-particle":"","family":"Price","given":"J. D.","non-dropping-particle":"","parse-names":false,"suffix":""},{"dropping-particle":"","family":"Hann","given":"A.","non-dropping-particle":"","parse-names":false,"suffix":""},{"dropping-particle":"","family":"Tarassenko","given":"L.","non-dropping-particle":"","parse-names":false,"suffix":""},{"dropping-particle":"","family":"Young","given":"J. Duncan","non-dropping-particle":"","parse-names":false,"suffix":""}],"container-title":"Anaesthesia","id":"ITEM-1","issued":{"date-parts":[["2006"]]},"title":"A randomised controlled trial of the effect of continuous electronic physiological monitoring on the adverse event rate in high risk medical and surgical patients","type":"article-journal"},"uris":["http://www.mendeley.com/documents/?uuid=f5f93a66-5a75-4f9d-a1df-03db35b38c7f"]},{"id":"ITEM-2","itemData":{"DOI":"10.1109/JBHI.2012.2234130","ISSN":"21682194","PMID":"25055312","abstract":"We consider an integrated patient monitoring system, combining electronic patient records with high-rate acquisition of patient physiological data. There remain many challenges in increasing the robustness of \"e-health\" applications to a level at which they are clinically useful, particularly in the use of automated algorithms used to detect and cope with artifact in data contained within the electronic patient record, and in analyzing and communicating the resultant data for reporting to clinicians. There is a consequential \"plague of pilots,\" in which engineering prototype systems do not enter into clinical use. This paper describes an approach in which, for the first time, the Emergency Department (ED) of a major research hospital has adopted such systems for use during a large clinical trial. We describe the disadvantages of existing evaluation metrics when applied to such large trials, and propose a solution suitable for large-scale validation. We demonstrate that machine learning technologies embedded within healthcare information systems can provide clinical benefit, with the potential to improve patient outcomes in the busy environment of a major ED and other high-dependence areas of patient care. © 2013 IEEE.","author":[{"dropping-particle":"","family":"Clifton","given":"David A.","non-dropping-particle":"","parse-names":false,"suffix":""},{"dropping-particle":"","family":"Wong","given":"David","non-dropping-particle":"","parse-names":false,"suffix":""},{"dropping-particle":"","family":"Clifton","given":"Lei","non-dropping-particle":"","parse-names":false,"suffix":""},{"dropping-particle":"","family":"Wilson","given":"Sarah","non-dropping-particle":"","parse-names":false,"suffix":""},{"dropping-particle":"","family":"Way","given":"Rob","non-dropping-particle":"","parse-names":false,"suffix":""},{"dropping-particle":"","family":"Pullinger","given":"Richard","non-dropping-particle":"","parse-names":false,"suffix":""},{"dropping-particle":"","family":"Tarassenko","given":"Lionel","non-dropping-particle":"","parse-names":false,"suffix":""}],"container-title":"IEEE Journal of Biomedical and Health Informatics","id":"ITEM-2","issued":{"date-parts":[["2013"]]},"title":"A large-scale clinical validation of an integrated monitoring system in the Emergency Department","type":"article-journal"},"uris":["http://www.mendeley.com/documents/?uuid=cae071d2-1471-4587-82b9-1182969190ad"]},{"id":"ITEM-3","itemData":{"DOI":"10.1109/EMBC.2014.6944293","ISBN":"978-1-4244-7929-0","PMID":"25570661","abstract":"The intensive care unit (ICU) admits the most severely ill patients, and the goal of the unit can be interpreted as stabilizing patient physiology. Once these patients are discharged from the ICU to a step-down ward, they continue to have their vital signs monitored by nursing staff. Early detection of physiological deterioration has been highlighted as a key step to reduce ICU readmission and improve patient outcomes. Vital signs were collected for a dataset of 98 patients admitted to an ICU and who survived to hospital discharge after their stay on a step-down ward. A model of physiological normality was developed using data from the day of hospital discharge, and patients were retrospectively evaluated throughout their stay using this model. We show that the physiology of patients being cared for in the ICU improves very rapidly in the three days prior to discharge, and furthermore, that this recovery continues during their stay on the ward, albeit at a slower rate.","author":[{"dropping-particle":"","family":"Johnson","given":"Alistair E. W.","non-dropping-particle":"","parse-names":false,"suffix":""},{"dropping-particle":"","family":"Burgess","given":"Jonathan","non-dropping-particle":"","parse-names":false,"suffix":""},{"dropping-particle":"","family":"Pimentel","given":"Marco A. F.","non-dropping-particle":"","parse-names":false,"suffix":""},{"dropping-particle":"","family":"Clifton","given":"David A.","non-dropping-particle":"","parse-names":false,"suffix":""},{"dropping-particle":"","family":"Young","given":"J. Duncan","non-dropping-particle":"","parse-names":false,"suffix":""},{"dropping-particle":"","family":"Watkinson","given":"Peter J.","non-dropping-particle":"","parse-names":false,"suffix":""},{"dropping-particle":"","family":"Tarassenko","given":"Lionel","non-dropping-particle":"","parse-names":false,"suffix":""}],"container-title":"2014 36th Annual International Conference of the IEEE Engineering in Medicine and Biology Society","id":"ITEM-3","issued":{"date-parts":[["2014","8"]]},"page":"3160-3163","publisher":"IEEE","title":"Physiological trajectory of patients pre and post ICU discharge","type":"paper-conference"},"uris":["http://www.mendeley.com/documents/?uuid=a13f9f31-fbec-4896-a5c3-e3ce35501c32"]},{"id":"ITEM-4","itemData":{"DOI":"10.1007/s11517-013-1059-0","ISSN":"01400118","PMID":"23516077","abstract":"Patients who undergo upper-gastrointestinal surgery have a high incidence of post-operative complications, often requiring admission to the intensive care unit several days after surgery. A dataset comprising observational vital-sign data from 171 post-operative patients taking part in a two-phase clinical trial at the Oxford Cancer Centre, was used to explore the trajectory of patients' vital-sign changes during their stay in the post-operative ward using both univariate and multivariate analyses. A model of normality based vital-sign data from patients who had a \"normal\" recovery was constructed using a kernel density estimate, and tested with \"abnormal\" data from patients who deteriorated sufficiently to be re-admitted to the intensive care unit. The vital-sign distributions from \"normal\" patients were found to vary over time from admission to the post-operative ward to their discharge home, but no significant changes in their distributions were observed from halfway through their stay on the ward to the time of discharge. The model of normality identified patient deterioration when tested with unseen \"abnormal\" data, suggesting that such techniques may be used to provide early warning of adverse physiological events. © 2013 The Author(s).","author":[{"dropping-particle":"","family":"Pimentel","given":"Marco A.F.","non-dropping-particle":"","parse-names":false,"suffix":""},{"dropping-particle":"","family":"Clifton","given":"David A.","non-dropping-particle":"","parse-names":false,"suffix":""},{"dropping-particle":"","family":"Clifton","given":"Lei","non-dropping-particle":"","parse-names":false,"suffix":""},{"dropping-particle":"","family":"Watkinson","given":"Peter J.","non-dropping-particle":"","parse-names":false,"suffix":""},{"dropping-particle":"","family":"Tarassenko","given":"Lionel","non-dropping-particle":"","parse-names":false,"suffix":""}],"container-title":"Medical and Biological Engineering and Computing","id":"ITEM-4","issued":{"date-parts":[["2013"]]},"title":"Modelling physiological deterioration in post-operative patient vital-sign data","type":"article-journal"},"uris":["http://www.mendeley.com/documents/?uuid=f8550928-1237-4665-a46b-b5a9435b3c52"]}],"mendeley":{"formattedCitation":"(3–6)","plainTextFormattedCitation":"(3–6)","previouslyFormattedCitation":"(3–6)"},"properties":{"noteIndex":0},"schema":"https://github.com/citation-style-language/schema/raw/master/csl-citation.json"}</w:instrText>
      </w:r>
      <w:r w:rsidR="00A16B68">
        <w:rPr>
          <w:rFonts w:ascii="Arial" w:hAnsi="Arial" w:cs="Arial"/>
        </w:rPr>
        <w:fldChar w:fldCharType="separate"/>
      </w:r>
      <w:r w:rsidR="00C53C57" w:rsidRPr="00C53C57">
        <w:rPr>
          <w:rFonts w:ascii="Arial" w:hAnsi="Arial" w:cs="Arial"/>
          <w:noProof/>
        </w:rPr>
        <w:t>(3–6)</w:t>
      </w:r>
      <w:r w:rsidR="00A16B68">
        <w:rPr>
          <w:rFonts w:ascii="Arial" w:hAnsi="Arial" w:cs="Arial"/>
        </w:rPr>
        <w:fldChar w:fldCharType="end"/>
      </w:r>
      <w:r w:rsidR="00985D4A">
        <w:rPr>
          <w:rFonts w:ascii="Arial" w:hAnsi="Arial" w:cs="Arial"/>
        </w:rPr>
        <w:t xml:space="preserve"> </w:t>
      </w:r>
      <w:r w:rsidR="00347BDF" w:rsidRPr="00932742">
        <w:rPr>
          <w:rFonts w:ascii="Arial" w:hAnsi="Arial" w:cs="Arial"/>
        </w:rPr>
        <w:t xml:space="preserve">and underpin a </w:t>
      </w:r>
      <w:r w:rsidR="009433D4" w:rsidRPr="00932742">
        <w:rPr>
          <w:rFonts w:ascii="Arial" w:hAnsi="Arial" w:cs="Arial"/>
        </w:rPr>
        <w:t xml:space="preserve">commercial, </w:t>
      </w:r>
      <w:r w:rsidR="00273588" w:rsidRPr="00932742">
        <w:rPr>
          <w:rFonts w:ascii="Arial" w:hAnsi="Arial" w:cs="Arial"/>
        </w:rPr>
        <w:t>clinically</w:t>
      </w:r>
      <w:r w:rsidR="009433D4" w:rsidRPr="00932742">
        <w:rPr>
          <w:rFonts w:ascii="Arial" w:hAnsi="Arial" w:cs="Arial"/>
        </w:rPr>
        <w:t>-</w:t>
      </w:r>
      <w:r w:rsidR="00273588" w:rsidRPr="00932742">
        <w:rPr>
          <w:rFonts w:ascii="Arial" w:hAnsi="Arial" w:cs="Arial"/>
        </w:rPr>
        <w:t>used</w:t>
      </w:r>
      <w:r w:rsidR="00347BDF" w:rsidRPr="00932742">
        <w:rPr>
          <w:rFonts w:ascii="Arial" w:hAnsi="Arial" w:cs="Arial"/>
        </w:rPr>
        <w:t xml:space="preserve"> system</w:t>
      </w:r>
      <w:r w:rsidR="00D421E3">
        <w:rPr>
          <w:rFonts w:ascii="Arial" w:hAnsi="Arial" w:cs="Arial"/>
        </w:rPr>
        <w:t xml:space="preserve">, described in </w:t>
      </w:r>
      <w:r w:rsidR="009B06C3">
        <w:rPr>
          <w:rFonts w:ascii="Arial" w:hAnsi="Arial" w:cs="Arial"/>
        </w:rPr>
        <w:fldChar w:fldCharType="begin" w:fldLock="1"/>
      </w:r>
      <w:r w:rsidR="00896782">
        <w:rPr>
          <w:rFonts w:ascii="Arial" w:hAnsi="Arial" w:cs="Arial"/>
        </w:rPr>
        <w:instrText>ADDIN CSL_CITATION {"citationItems":[{"id":"ITEM-1","itemData":{"DOI":"10.1109/IEMBS.2009.5332649","ISBN":"9781424432967","abstract":"Early detection of deterioration in hospital patients followed by intervention and stabilization can prevent adverse events such as a cardiac arrest, unscheduled admission to ICU, or death. Patients at step-down units of hospitals tend to have their vital signs checked by nursing staff at 4-hourly intervals. If an abnormality develops in the period between nurse observations, it is likely to lead to an adverse event (which may have been preventable). Visensia is a real-time, continuous vital sign acquisition system, using data fusion in order to predict patient deterioration. Validation trials have shown that the system successfully provides early warning of adverse events, such as cardiac arrests. We tested the system on lower acuity, ambulatory patients in a hospital ward with the vital signs being collected using telemetry. In order to optimize processing, we have developed an algorithm for deriving the respiration rate of the patient from the ECG signal. ©2009 IEEE.","author":[{"dropping-particle":"","family":"Orphanidou","given":"Christina","non-dropping-particle":"","parse-names":false,"suffix":""},{"dropping-particle":"","family":"Clifton","given":"David","non-dropping-particle":"","parse-names":false,"suffix":""},{"dropping-particle":"","family":"Shahab Khan","given":"","non-dropping-particle":"","parse-names":false,"suffix":""},{"dropping-particle":"","family":"Smith","given":"Marc","non-dropping-particle":"","parse-names":false,"suffix":""},{"dropping-particle":"","family":"Feldmar","given":"Jacques","non-dropping-particle":"","parse-names":false,"suffix":""},{"dropping-particle":"","family":"Tarassenko","given":"Lionel","non-dropping-particle":"","parse-names":false,"suffix":""}],"container-title":"2009 Annual International Conference of the IEEE Engineering in Medicine and Biology Society","id":"ITEM-1","issued":{"date-parts":[["2009","9"]]},"page":"4650-4653","publisher":"IEEE","title":"Telemetry-based vital sign monitoring for ambulatory hospital patients","type":"paper-conference"},"uris":["http://www.mendeley.com/documents/?uuid=ef36ccc3-1f3e-4d04-842f-106d469d8873"]}],"mendeley":{"formattedCitation":"(7)","plainTextFormattedCitation":"(7)","previouslyFormattedCitation":"(7)"},"properties":{"noteIndex":0},"schema":"https://github.com/citation-style-language/schema/raw/master/csl-citation.json"}</w:instrText>
      </w:r>
      <w:r w:rsidR="009B06C3">
        <w:rPr>
          <w:rFonts w:ascii="Arial" w:hAnsi="Arial" w:cs="Arial"/>
        </w:rPr>
        <w:fldChar w:fldCharType="separate"/>
      </w:r>
      <w:r w:rsidR="00C53C57" w:rsidRPr="00C53C57">
        <w:rPr>
          <w:rFonts w:ascii="Arial" w:hAnsi="Arial" w:cs="Arial"/>
          <w:noProof/>
        </w:rPr>
        <w:t>(7)</w:t>
      </w:r>
      <w:r w:rsidR="009B06C3">
        <w:rPr>
          <w:rFonts w:ascii="Arial" w:hAnsi="Arial" w:cs="Arial"/>
        </w:rPr>
        <w:fldChar w:fldCharType="end"/>
      </w:r>
      <w:r w:rsidR="00D421E3">
        <w:rPr>
          <w:rFonts w:ascii="Arial" w:hAnsi="Arial" w:cs="Arial"/>
        </w:rPr>
        <w:t>.</w:t>
      </w:r>
    </w:p>
    <w:p w14:paraId="7ECE7478" w14:textId="062A650B" w:rsidR="008136D2" w:rsidRPr="00932742" w:rsidRDefault="0045457A" w:rsidP="00617C68">
      <w:pPr>
        <w:pStyle w:val="Normal1"/>
        <w:spacing w:after="120" w:line="288" w:lineRule="auto"/>
        <w:rPr>
          <w:rFonts w:ascii="Arial" w:hAnsi="Arial" w:cs="Arial"/>
        </w:rPr>
      </w:pPr>
      <w:r w:rsidRPr="005C41B0">
        <w:rPr>
          <w:rFonts w:ascii="Arial" w:hAnsi="Arial" w:cs="Arial"/>
        </w:rPr>
        <w:lastRenderedPageBreak/>
        <w:t>We considered the construction of a multivariate</w:t>
      </w:r>
      <w:r w:rsidR="00617C68" w:rsidRPr="005C41B0">
        <w:rPr>
          <w:rFonts w:ascii="Arial" w:hAnsi="Arial" w:cs="Arial"/>
        </w:rPr>
        <w:t>, (possibly) multimodal model of normality, based on the vital-sign observation sets</w:t>
      </w:r>
      <w:r w:rsidR="00A43D48" w:rsidRPr="00F54C87">
        <w:rPr>
          <w:rFonts w:ascii="Arial" w:hAnsi="Arial" w:cs="Arial"/>
        </w:rPr>
        <w:t xml:space="preserve"> recorded during the 24 hours that preceded discharge home</w:t>
      </w:r>
      <w:r w:rsidR="00B56350">
        <w:rPr>
          <w:rFonts w:ascii="Arial" w:hAnsi="Arial" w:cs="Arial"/>
        </w:rPr>
        <w:t>. If the patient had not died, was not re-admitted to the ICU and was not discharged by the 14</w:t>
      </w:r>
      <w:r w:rsidR="00B56350" w:rsidRPr="00B6515A">
        <w:rPr>
          <w:rFonts w:ascii="Arial" w:hAnsi="Arial" w:cs="Arial"/>
          <w:vertAlign w:val="superscript"/>
        </w:rPr>
        <w:t>th</w:t>
      </w:r>
      <w:r w:rsidR="00B56350">
        <w:rPr>
          <w:rFonts w:ascii="Arial" w:hAnsi="Arial" w:cs="Arial"/>
        </w:rPr>
        <w:t xml:space="preserve"> post-ICU day, we used recorded data on that day. </w:t>
      </w:r>
      <w:r w:rsidR="00A43D48" w:rsidRPr="00B56350">
        <w:rPr>
          <w:rFonts w:ascii="Arial" w:hAnsi="Arial" w:cs="Arial"/>
        </w:rPr>
        <w:t xml:space="preserve">These observation sets </w:t>
      </w:r>
      <w:r w:rsidR="005C41B0">
        <w:rPr>
          <w:rFonts w:ascii="Arial" w:hAnsi="Arial" w:cs="Arial"/>
        </w:rPr>
        <w:t xml:space="preserve">are thus assumed to </w:t>
      </w:r>
      <w:r w:rsidR="00A43D48" w:rsidRPr="00B56350">
        <w:rPr>
          <w:rFonts w:ascii="Arial" w:hAnsi="Arial" w:cs="Arial"/>
        </w:rPr>
        <w:t>contain the vital</w:t>
      </w:r>
      <w:r w:rsidR="005C41B0">
        <w:rPr>
          <w:rFonts w:ascii="Arial" w:hAnsi="Arial" w:cs="Arial"/>
        </w:rPr>
        <w:t>-</w:t>
      </w:r>
      <w:r w:rsidR="00A43D48" w:rsidRPr="00B56350">
        <w:rPr>
          <w:rFonts w:ascii="Arial" w:hAnsi="Arial" w:cs="Arial"/>
        </w:rPr>
        <w:t>sign</w:t>
      </w:r>
      <w:r w:rsidR="005C41B0">
        <w:rPr>
          <w:rFonts w:ascii="Arial" w:hAnsi="Arial" w:cs="Arial"/>
        </w:rPr>
        <w:t xml:space="preserve"> values</w:t>
      </w:r>
      <w:r w:rsidR="00A43D48" w:rsidRPr="00B56350">
        <w:rPr>
          <w:rFonts w:ascii="Arial" w:hAnsi="Arial" w:cs="Arial"/>
        </w:rPr>
        <w:t xml:space="preserve"> from the most stable period of the patient’s </w:t>
      </w:r>
      <w:r w:rsidR="005C41B0">
        <w:rPr>
          <w:rFonts w:ascii="Arial" w:hAnsi="Arial" w:cs="Arial"/>
        </w:rPr>
        <w:t xml:space="preserve">hospital </w:t>
      </w:r>
      <w:r w:rsidR="00A43D48" w:rsidRPr="00B56350">
        <w:rPr>
          <w:rFonts w:ascii="Arial" w:hAnsi="Arial" w:cs="Arial"/>
        </w:rPr>
        <w:t>stay, because these data were acquired when patients are at their most “</w:t>
      </w:r>
      <w:r w:rsidR="005C41B0">
        <w:rPr>
          <w:rFonts w:ascii="Arial" w:hAnsi="Arial" w:cs="Arial"/>
        </w:rPr>
        <w:t>stable</w:t>
      </w:r>
      <w:r w:rsidR="00A43D48" w:rsidRPr="00B56350">
        <w:rPr>
          <w:rFonts w:ascii="Arial" w:hAnsi="Arial" w:cs="Arial"/>
        </w:rPr>
        <w:t xml:space="preserve">” after discharge from ICU. </w:t>
      </w:r>
      <w:r w:rsidR="00C06A2A" w:rsidRPr="00B56350">
        <w:rPr>
          <w:rFonts w:ascii="Arial" w:hAnsi="Arial" w:cs="Arial"/>
        </w:rPr>
        <w:t xml:space="preserve">This set of “normal” data contains </w:t>
      </w:r>
      <m:oMath>
        <m:r>
          <w:rPr>
            <w:rFonts w:ascii="Cambria Math" w:hAnsi="Cambria Math" w:cs="Arial"/>
          </w:rPr>
          <m:t>N=1,082</m:t>
        </m:r>
      </m:oMath>
      <w:r w:rsidR="00AB71C9" w:rsidRPr="005C41B0">
        <w:rPr>
          <w:rFonts w:ascii="Arial" w:hAnsi="Arial" w:cs="Arial"/>
        </w:rPr>
        <w:t xml:space="preserve"> 5-dimensional</w:t>
      </w:r>
      <w:r w:rsidR="0026767F" w:rsidRPr="005C41B0">
        <w:rPr>
          <w:rFonts w:ascii="Arial" w:hAnsi="Arial" w:cs="Arial"/>
        </w:rPr>
        <w:t xml:space="preserve"> vital-sign vectors,</w:t>
      </w:r>
      <w:r w:rsidR="00C06A2A" w:rsidRPr="005C41B0">
        <w:rPr>
          <w:rFonts w:ascii="Arial" w:hAnsi="Arial" w:cs="Arial"/>
        </w:rPr>
        <w:t xml:space="preserve"> </w:t>
      </w:r>
      <m:oMath>
        <m:r>
          <m:rPr>
            <m:sty m:val="b"/>
          </m:rPr>
          <w:rPr>
            <w:rFonts w:ascii="Cambria Math" w:hAnsi="Cambria Math" w:cs="Arial"/>
          </w:rPr>
          <m:t>X=</m:t>
        </m:r>
        <m:d>
          <m:dPr>
            <m:begChr m:val="{"/>
            <m:endChr m:val="}"/>
            <m:ctrlPr>
              <w:rPr>
                <w:rFonts w:ascii="Cambria Math" w:hAnsi="Cambria Math" w:cs="Arial"/>
                <w:b/>
                <w:bCs/>
                <w:iCs/>
              </w:rPr>
            </m:ctrlPr>
          </m:dPr>
          <m:e>
            <m:sSub>
              <m:sSubPr>
                <m:ctrlPr>
                  <w:rPr>
                    <w:rFonts w:ascii="Cambria Math" w:hAnsi="Cambria Math" w:cs="Arial"/>
                    <w:b/>
                    <w:bCs/>
                    <w:i/>
                    <w:iCs/>
                  </w:rPr>
                </m:ctrlPr>
              </m:sSubPr>
              <m:e>
                <m:r>
                  <m:rPr>
                    <m:sty m:val="b"/>
                  </m:rPr>
                  <w:rPr>
                    <w:rFonts w:ascii="Cambria Math" w:hAnsi="Cambria Math" w:cs="Arial"/>
                  </w:rPr>
                  <m:t>x</m:t>
                </m:r>
              </m:e>
              <m:sub>
                <m:r>
                  <m:rPr>
                    <m:sty m:val="bi"/>
                  </m:rPr>
                  <w:rPr>
                    <w:rFonts w:ascii="Cambria Math" w:hAnsi="Cambria Math" w:cs="Arial"/>
                  </w:rPr>
                  <m:t>1</m:t>
                </m:r>
              </m:sub>
            </m:sSub>
            <m:r>
              <m:rPr>
                <m:sty m:val="bi"/>
              </m:rPr>
              <w:rPr>
                <w:rFonts w:ascii="Cambria Math" w:hAnsi="Cambria Math" w:cs="Arial"/>
              </w:rPr>
              <m:t>,…,</m:t>
            </m:r>
            <m:sSub>
              <m:sSubPr>
                <m:ctrlPr>
                  <w:rPr>
                    <w:rFonts w:ascii="Cambria Math" w:hAnsi="Cambria Math" w:cs="Arial"/>
                    <w:b/>
                    <w:bCs/>
                    <w:i/>
                    <w:iCs/>
                  </w:rPr>
                </m:ctrlPr>
              </m:sSubPr>
              <m:e>
                <m:r>
                  <m:rPr>
                    <m:sty m:val="b"/>
                  </m:rPr>
                  <w:rPr>
                    <w:rFonts w:ascii="Cambria Math" w:hAnsi="Cambria Math" w:cs="Arial"/>
                  </w:rPr>
                  <m:t>x</m:t>
                </m:r>
              </m:e>
              <m:sub>
                <m:r>
                  <m:rPr>
                    <m:sty m:val="bi"/>
                  </m:rPr>
                  <w:rPr>
                    <w:rFonts w:ascii="Cambria Math" w:hAnsi="Cambria Math" w:cs="Arial"/>
                  </w:rPr>
                  <m:t>N</m:t>
                </m:r>
              </m:sub>
            </m:sSub>
          </m:e>
        </m:d>
        <m:r>
          <w:rPr>
            <w:rFonts w:ascii="Cambria Math" w:hAnsi="Cambria Math" w:cs="Arial"/>
          </w:rPr>
          <m:t>∈</m:t>
        </m:r>
        <m:sSup>
          <m:sSupPr>
            <m:ctrlPr>
              <w:rPr>
                <w:rFonts w:ascii="Cambria Math" w:hAnsi="Cambria Math" w:cs="Arial"/>
                <w:i/>
              </w:rPr>
            </m:ctrlPr>
          </m:sSupPr>
          <m:e>
            <m:r>
              <m:rPr>
                <m:scr m:val="double-struck"/>
              </m:rPr>
              <w:rPr>
                <w:rFonts w:ascii="Cambria Math" w:hAnsi="Cambria Math" w:cs="Arial"/>
              </w:rPr>
              <m:t>R</m:t>
            </m:r>
          </m:e>
          <m:sup>
            <m:r>
              <w:rPr>
                <w:rFonts w:ascii="Cambria Math" w:hAnsi="Cambria Math" w:cs="Arial"/>
              </w:rPr>
              <m:t>5</m:t>
            </m:r>
          </m:sup>
        </m:sSup>
      </m:oMath>
      <w:r w:rsidR="00C06A2A" w:rsidRPr="00932742">
        <w:rPr>
          <w:rFonts w:ascii="Arial" w:hAnsi="Arial" w:cs="Arial"/>
        </w:rPr>
        <w:t xml:space="preserve">, </w:t>
      </w:r>
      <w:r w:rsidR="00595DA3" w:rsidRPr="00932742">
        <w:rPr>
          <w:rFonts w:ascii="Arial" w:hAnsi="Arial" w:cs="Arial"/>
        </w:rPr>
        <w:t>which were subsequently used for the construction of our model of normality.</w:t>
      </w:r>
    </w:p>
    <w:p w14:paraId="7C59064D" w14:textId="4E0B568E" w:rsidR="00595DA3" w:rsidRPr="00F54C87" w:rsidRDefault="00715D7F" w:rsidP="00617C68">
      <w:pPr>
        <w:pStyle w:val="Normal1"/>
        <w:spacing w:after="120" w:line="288" w:lineRule="auto"/>
        <w:rPr>
          <w:rFonts w:ascii="Arial" w:hAnsi="Arial" w:cs="Arial"/>
        </w:rPr>
      </w:pPr>
      <w:r w:rsidRPr="00932742">
        <w:rPr>
          <w:rFonts w:ascii="Arial" w:hAnsi="Arial" w:cs="Arial"/>
        </w:rPr>
        <w:t>A kernel density estimate</w:t>
      </w:r>
      <w:r w:rsidR="009B06C3">
        <w:rPr>
          <w:rFonts w:ascii="Arial" w:hAnsi="Arial" w:cs="Arial"/>
        </w:rPr>
        <w:t xml:space="preserve">, or </w:t>
      </w:r>
      <w:r w:rsidRPr="00932742">
        <w:rPr>
          <w:rFonts w:ascii="Arial" w:hAnsi="Arial" w:cs="Arial"/>
        </w:rPr>
        <w:t>KDE</w:t>
      </w:r>
      <w:r w:rsidR="009B06C3">
        <w:rPr>
          <w:rFonts w:ascii="Arial" w:hAnsi="Arial" w:cs="Arial"/>
        </w:rPr>
        <w:t xml:space="preserve"> </w:t>
      </w:r>
      <w:r w:rsidR="009B06C3">
        <w:rPr>
          <w:rFonts w:ascii="Arial" w:hAnsi="Arial" w:cs="Arial"/>
        </w:rPr>
        <w:fldChar w:fldCharType="begin" w:fldLock="1"/>
      </w:r>
      <w:r w:rsidR="00896782">
        <w:rPr>
          <w:rFonts w:ascii="Arial" w:hAnsi="Arial" w:cs="Arial"/>
        </w:rPr>
        <w:instrText>ADDIN CSL_CITATION {"citationItems":[{"id":"ITEM-1","itemData":{"DOI":"10.1016/j.sigpro.2013.12.026","ISSN":"01651684","abstract":"Novelty detection is the task of classifying test data that differ in some respect from the data that are available during training. This may be seen as \"one-class classification\", in which a model is constructed to describe \"normal\" training data. The novelty detection approach is typically used when the quantity of available \"abnormal\" data is insufficient to construct explicit models for non-normal classes. Application includes inference in datasets from critical systems, where the quantity of available normal data is very large, such that \"normality\" may be accurately modelled. In this review we aim to provide an updated and structured investigation of novelty detection research papers that have appeared in the machine learning literature during the last decade. © 2014 Published by Elsevier B.V.","author":[{"dropping-particle":"","family":"Pimentel","given":"Marco A.F.","non-dropping-particle":"","parse-names":false,"suffix":""},{"dropping-particle":"","family":"Clifton","given":"David A.","non-dropping-particle":"","parse-names":false,"suffix":""},{"dropping-particle":"","family":"Clifton","given":"Lei","non-dropping-particle":"","parse-names":false,"suffix":""},{"dropping-particle":"","family":"Tarassenko","given":"Lionel","non-dropping-particle":"","parse-names":false,"suffix":""}],"container-title":"Signal Processing","id":"ITEM-1","issued":{"date-parts":[["2014","6"]]},"page":"215-249","title":"A review of novelty detection","type":"article-journal","volume":"99"},"uris":["http://www.mendeley.com/documents/?uuid=eb2be61d-20f5-4716-b9cf-0bdc5eb1f1ad"]}],"mendeley":{"formattedCitation":"(2)","plainTextFormattedCitation":"(2)","previouslyFormattedCitation":"(2)"},"properties":{"noteIndex":0},"schema":"https://github.com/citation-style-language/schema/raw/master/csl-citation.json"}</w:instrText>
      </w:r>
      <w:r w:rsidR="009B06C3">
        <w:rPr>
          <w:rFonts w:ascii="Arial" w:hAnsi="Arial" w:cs="Arial"/>
        </w:rPr>
        <w:fldChar w:fldCharType="separate"/>
      </w:r>
      <w:r w:rsidR="00C53C57" w:rsidRPr="00C53C57">
        <w:rPr>
          <w:rFonts w:ascii="Arial" w:hAnsi="Arial" w:cs="Arial"/>
          <w:noProof/>
        </w:rPr>
        <w:t>(2)</w:t>
      </w:r>
      <w:r w:rsidR="009B06C3">
        <w:rPr>
          <w:rFonts w:ascii="Arial" w:hAnsi="Arial" w:cs="Arial"/>
        </w:rPr>
        <w:fldChar w:fldCharType="end"/>
      </w:r>
      <w:r w:rsidRPr="00932742">
        <w:rPr>
          <w:rFonts w:ascii="Arial" w:hAnsi="Arial" w:cs="Arial"/>
        </w:rPr>
        <w:t xml:space="preserve"> was used to estimate the probability density function (pdf) of the set of five vital signs. This is in a non-parametric technique</w:t>
      </w:r>
      <w:r w:rsidR="009C1FA0" w:rsidRPr="00932742">
        <w:rPr>
          <w:rFonts w:ascii="Arial" w:hAnsi="Arial" w:cs="Arial"/>
        </w:rPr>
        <w:t xml:space="preserve"> where no </w:t>
      </w:r>
      <w:r w:rsidR="009C1FA0" w:rsidRPr="00932742">
        <w:rPr>
          <w:rFonts w:ascii="Arial" w:hAnsi="Arial" w:cs="Arial"/>
          <w:i/>
          <w:iCs/>
        </w:rPr>
        <w:t>a priori</w:t>
      </w:r>
      <w:r w:rsidR="009C1FA0" w:rsidRPr="00932742">
        <w:rPr>
          <w:rFonts w:ascii="Arial" w:hAnsi="Arial" w:cs="Arial"/>
        </w:rPr>
        <w:t xml:space="preserve"> assumptions about the </w:t>
      </w:r>
      <w:r w:rsidR="00CB36EC" w:rsidRPr="00932742">
        <w:rPr>
          <w:rFonts w:ascii="Arial" w:hAnsi="Arial" w:cs="Arial"/>
        </w:rPr>
        <w:t>form</w:t>
      </w:r>
      <w:r w:rsidR="00BD5C2A" w:rsidRPr="00932742">
        <w:rPr>
          <w:rFonts w:ascii="Arial" w:hAnsi="Arial" w:cs="Arial"/>
        </w:rPr>
        <w:t xml:space="preserve"> of the </w:t>
      </w:r>
      <w:r w:rsidR="009C1FA0" w:rsidRPr="00932742">
        <w:rPr>
          <w:rFonts w:ascii="Arial" w:hAnsi="Arial" w:cs="Arial"/>
        </w:rPr>
        <w:t xml:space="preserve">underlying </w:t>
      </w:r>
      <w:r w:rsidR="00BD5C2A" w:rsidRPr="00932742">
        <w:rPr>
          <w:rFonts w:ascii="Arial" w:hAnsi="Arial" w:cs="Arial"/>
        </w:rPr>
        <w:t xml:space="preserve">probability </w:t>
      </w:r>
      <w:r w:rsidR="009C1FA0" w:rsidRPr="00932742">
        <w:rPr>
          <w:rFonts w:ascii="Arial" w:hAnsi="Arial" w:cs="Arial"/>
        </w:rPr>
        <w:t>distribution</w:t>
      </w:r>
      <w:r w:rsidR="00EE6FCC">
        <w:rPr>
          <w:rFonts w:ascii="Arial" w:hAnsi="Arial" w:cs="Arial"/>
        </w:rPr>
        <w:t xml:space="preserve"> are</w:t>
      </w:r>
      <w:r w:rsidR="009C1FA0" w:rsidRPr="00932742">
        <w:rPr>
          <w:rFonts w:ascii="Arial" w:hAnsi="Arial" w:cs="Arial"/>
        </w:rPr>
        <w:t xml:space="preserve"> made.</w:t>
      </w:r>
      <w:r w:rsidR="00BD5C2A" w:rsidRPr="00932742">
        <w:rPr>
          <w:rFonts w:ascii="Arial" w:hAnsi="Arial" w:cs="Arial"/>
        </w:rPr>
        <w:t xml:space="preserve"> Our notation follows that reported previously</w:t>
      </w:r>
      <w:r w:rsidR="009B06C3">
        <w:rPr>
          <w:rFonts w:ascii="Arial" w:hAnsi="Arial" w:cs="Arial"/>
        </w:rPr>
        <w:t xml:space="preserve"> </w:t>
      </w:r>
      <w:r w:rsidR="009B06C3">
        <w:rPr>
          <w:rFonts w:ascii="Arial" w:hAnsi="Arial" w:cs="Arial"/>
        </w:rPr>
        <w:fldChar w:fldCharType="begin" w:fldLock="1"/>
      </w:r>
      <w:r w:rsidR="00896782">
        <w:rPr>
          <w:rFonts w:ascii="Arial" w:hAnsi="Arial" w:cs="Arial"/>
        </w:rPr>
        <w:instrText>ADDIN CSL_CITATION {"citationItems":[{"id":"ITEM-1","itemData":{"DOI":"10.1007/s11517-013-1059-0","ISSN":"01400118","PMID":"23516077","abstract":"Patients who undergo upper-gastrointestinal surgery have a high incidence of post-operative complications, often requiring admission to the intensive care unit several days after surgery. A dataset comprising observational vital-sign data from 171 post-operative patients taking part in a two-phase clinical trial at the Oxford Cancer Centre, was used to explore the trajectory of patients' vital-sign changes during their stay in the post-operative ward using both univariate and multivariate analyses. A model of normality based vital-sign data from patients who had a \"normal\" recovery was constructed using a kernel density estimate, and tested with \"abnormal\" data from patients who deteriorated sufficiently to be re-admitted to the intensive care unit. The vital-sign distributions from \"normal\" patients were found to vary over time from admission to the post-operative ward to their discharge home, but no significant changes in their distributions were observed from halfway through their stay on the ward to the time of discharge. The model of normality identified patient deterioration when tested with unseen \"abnormal\" data, suggesting that such techniques may be used to provide early warning of adverse physiological events. © 2013 The Author(s).","author":[{"dropping-particle":"","family":"Pimentel","given":"Marco A.F.","non-dropping-particle":"","parse-names":false,"suffix":""},{"dropping-particle":"","family":"Clifton","given":"David A.","non-dropping-particle":"","parse-names":false,"suffix":""},{"dropping-particle":"","family":"Clifton","given":"Lei","non-dropping-particle":"","parse-names":false,"suffix":""},{"dropping-particle":"","family":"Watkinson","given":"Peter J.","non-dropping-particle":"","parse-names":false,"suffix":""},{"dropping-particle":"","family":"Tarassenko","given":"Lionel","non-dropping-particle":"","parse-names":false,"suffix":""}],"container-title":"Medical and Biological Engineering and Computing","id":"ITEM-1","issued":{"date-parts":[["2013"]]},"title":"Modelling physiological deterioration in post-operative patient vital-sign data","type":"article-journal"},"uris":["http://www.mendeley.com/documents/?uuid=f8550928-1237-4665-a46b-b5a9435b3c52"]},{"id":"ITEM-2","itemData":{"DOI":"10.1109/EMBC.2014.6944293","ISBN":"978-1-4244-7929-0","PMID":"25570661","abstract":"The intensive care unit (ICU) admits the most severely ill patients, and the goal of the unit can be interpreted as stabilizing patient physiology. Once these patients are discharged from the ICU to a step-down ward, they continue to have their vital signs monitored by nursing staff. Early detection of physiological deterioration has been highlighted as a key step to reduce ICU readmission and improve patient outcomes. Vital signs were collected for a dataset of 98 patients admitted to an ICU and who survived to hospital discharge after their stay on a step-down ward. A model of physiological normality was developed using data from the day of hospital discharge, and patients were retrospectively evaluated throughout their stay using this model. We show that the physiology of patients being cared for in the ICU improves very rapidly in the three days prior to discharge, and furthermore, that this recovery continues during their stay on the ward, albeit at a slower rate.","author":[{"dropping-particle":"","family":"Johnson","given":"Alistair E. W.","non-dropping-particle":"","parse-names":false,"suffix":""},{"dropping-particle":"","family":"Burgess","given":"Jonathan","non-dropping-particle":"","parse-names":false,"suffix":""},{"dropping-particle":"","family":"Pimentel","given":"Marco A. F.","non-dropping-particle":"","parse-names":false,"suffix":""},{"dropping-particle":"","family":"Clifton","given":"David A.","non-dropping-particle":"","parse-names":false,"suffix":""},{"dropping-particle":"","family":"Young","given":"J. Duncan","non-dropping-particle":"","parse-names":false,"suffix":""},{"dropping-particle":"","family":"Watkinson","given":"Peter J.","non-dropping-particle":"","parse-names":false,"suffix":""},{"dropping-particle":"","family":"Tarassenko","given":"Lionel","non-dropping-particle":"","parse-names":false,"suffix":""}],"container-title":"2014 36th Annual International Conference of the IEEE Engineering in Medicine and Biology Society","id":"ITEM-2","issued":{"date-parts":[["2014","8"]]},"page":"3160-3163","publisher":"IEEE","title":"Physiological trajectory of patients pre and post ICU discharge","type":"paper-conference"},"uris":["http://www.mendeley.com/documents/?uuid=a13f9f31-fbec-4896-a5c3-e3ce35501c32"]}],"mendeley":{"formattedCitation":"(5, 6)","plainTextFormattedCitation":"(5, 6)","previouslyFormattedCitation":"(5, 6)"},"properties":{"noteIndex":0},"schema":"https://github.com/citation-style-language/schema/raw/master/csl-citation.json"}</w:instrText>
      </w:r>
      <w:r w:rsidR="009B06C3">
        <w:rPr>
          <w:rFonts w:ascii="Arial" w:hAnsi="Arial" w:cs="Arial"/>
        </w:rPr>
        <w:fldChar w:fldCharType="separate"/>
      </w:r>
      <w:r w:rsidR="00C53C57" w:rsidRPr="00C53C57">
        <w:rPr>
          <w:rFonts w:ascii="Arial" w:hAnsi="Arial" w:cs="Arial"/>
          <w:noProof/>
        </w:rPr>
        <w:t>(5, 6)</w:t>
      </w:r>
      <w:r w:rsidR="009B06C3">
        <w:rPr>
          <w:rFonts w:ascii="Arial" w:hAnsi="Arial" w:cs="Arial"/>
        </w:rPr>
        <w:fldChar w:fldCharType="end"/>
      </w:r>
      <w:r w:rsidR="008E0FBF">
        <w:rPr>
          <w:rFonts w:ascii="Arial" w:hAnsi="Arial" w:cs="Arial"/>
        </w:rPr>
        <w:t>.</w:t>
      </w:r>
      <w:r w:rsidR="00BD5C2A" w:rsidRPr="00932742">
        <w:rPr>
          <w:rFonts w:ascii="Arial" w:hAnsi="Arial" w:cs="Arial"/>
        </w:rPr>
        <w:t xml:space="preserve"> </w:t>
      </w:r>
      <w:r w:rsidR="007576FA" w:rsidRPr="00932742">
        <w:rPr>
          <w:rFonts w:ascii="Arial" w:hAnsi="Arial" w:cs="Arial"/>
        </w:rPr>
        <w:t>The data</w:t>
      </w:r>
      <w:r w:rsidR="00AB71C9" w:rsidRPr="00932742">
        <w:rPr>
          <w:rFonts w:ascii="Arial" w:hAnsi="Arial" w:cs="Arial"/>
        </w:rPr>
        <w:t xml:space="preserve"> </w:t>
      </w:r>
      <w:r w:rsidR="00C02E81" w:rsidRPr="00932742">
        <w:rPr>
          <w:rFonts w:ascii="Arial" w:hAnsi="Arial" w:cs="Arial"/>
        </w:rPr>
        <w:t>pdf</w:t>
      </w:r>
      <w:r w:rsidR="00AB71C9" w:rsidRPr="00932742">
        <w:rPr>
          <w:rFonts w:ascii="Arial" w:hAnsi="Arial" w:cs="Arial"/>
        </w:rPr>
        <w:t xml:space="preserve"> </w:t>
      </w:r>
      <m:oMath>
        <m:r>
          <w:rPr>
            <w:rFonts w:ascii="Cambria Math" w:hAnsi="Cambria Math" w:cs="Arial"/>
          </w:rPr>
          <m:t>p(</m:t>
        </m:r>
        <m:r>
          <m:rPr>
            <m:sty m:val="b"/>
          </m:rPr>
          <w:rPr>
            <w:rFonts w:ascii="Cambria Math" w:hAnsi="Cambria Math" w:cs="Arial"/>
          </w:rPr>
          <m:t>x</m:t>
        </m:r>
        <m:r>
          <w:rPr>
            <w:rFonts w:ascii="Cambria Math" w:hAnsi="Cambria Math" w:cs="Arial"/>
          </w:rPr>
          <m:t>)</m:t>
        </m:r>
      </m:oMath>
      <w:r w:rsidR="00CD191C" w:rsidRPr="00932742">
        <w:rPr>
          <w:rFonts w:ascii="Arial" w:hAnsi="Arial" w:cs="Arial"/>
        </w:rPr>
        <w:t xml:space="preserve"> was </w:t>
      </w:r>
      <w:r w:rsidR="0090196E" w:rsidRPr="00932742">
        <w:rPr>
          <w:rFonts w:ascii="Arial" w:hAnsi="Arial" w:cs="Arial"/>
        </w:rPr>
        <w:t>estimated</w:t>
      </w:r>
      <w:r w:rsidR="00CD191C" w:rsidRPr="00932742">
        <w:rPr>
          <w:rFonts w:ascii="Arial" w:hAnsi="Arial" w:cs="Arial"/>
        </w:rPr>
        <w:t xml:space="preserve"> using the</w:t>
      </w:r>
      <w:r w:rsidR="0090196E" w:rsidRPr="00932742">
        <w:rPr>
          <w:rFonts w:ascii="Arial" w:hAnsi="Arial" w:cs="Arial"/>
        </w:rPr>
        <w:t xml:space="preserve"> </w:t>
      </w:r>
      <m:oMath>
        <m:r>
          <w:rPr>
            <w:rFonts w:ascii="Cambria Math" w:hAnsi="Cambria Math" w:cs="Arial"/>
          </w:rPr>
          <m:t>N=1,082</m:t>
        </m:r>
      </m:oMath>
      <w:r w:rsidR="0090196E" w:rsidRPr="00B56350">
        <w:rPr>
          <w:rFonts w:ascii="Arial" w:hAnsi="Arial" w:cs="Arial"/>
        </w:rPr>
        <w:t xml:space="preserve"> set of observations </w:t>
      </w:r>
      <w:r w:rsidR="00DF62D8" w:rsidRPr="005C41B0">
        <w:rPr>
          <w:rFonts w:ascii="Arial" w:hAnsi="Arial" w:cs="Arial"/>
        </w:rPr>
        <w:t>as shown in (</w:t>
      </w:r>
      <w:r w:rsidR="00AB0E0B" w:rsidRPr="00F54C87">
        <w:rPr>
          <w:rFonts w:ascii="Arial" w:hAnsi="Arial" w:cs="Arial"/>
        </w:rPr>
        <w:t>SM1-</w:t>
      </w:r>
      <w:r w:rsidR="00DF62D8" w:rsidRPr="00F54C87">
        <w:rPr>
          <w:rFonts w:ascii="Arial" w:hAnsi="Arial" w:cs="Arial"/>
        </w:rPr>
        <w:t>1).</w:t>
      </w:r>
    </w:p>
    <w:p w14:paraId="1A5715CE" w14:textId="7CFC2910" w:rsidR="00DF62D8" w:rsidRPr="00932742" w:rsidRDefault="00914ACA" w:rsidP="00617C68">
      <w:pPr>
        <w:pStyle w:val="Normal1"/>
        <w:spacing w:after="120" w:line="288" w:lineRule="auto"/>
        <w:rPr>
          <w:rFonts w:ascii="Arial" w:hAnsi="Arial" w:cs="Arial"/>
        </w:rPr>
      </w:pPr>
      <m:oMath>
        <m:r>
          <w:rPr>
            <w:rFonts w:ascii="Cambria Math" w:hAnsi="Cambria Math" w:cs="Arial"/>
          </w:rPr>
          <m:t>p</m:t>
        </m:r>
        <m:d>
          <m:dPr>
            <m:ctrlPr>
              <w:rPr>
                <w:rFonts w:ascii="Cambria Math" w:hAnsi="Cambria Math" w:cs="Arial"/>
                <w:i/>
              </w:rPr>
            </m:ctrlPr>
          </m:dPr>
          <m:e>
            <m:r>
              <m:rPr>
                <m:sty m:val="b"/>
              </m:rPr>
              <w:rPr>
                <w:rFonts w:ascii="Cambria Math" w:hAnsi="Cambria Math" w:cs="Arial"/>
              </w:rPr>
              <m:t>x</m:t>
            </m:r>
            <m:r>
              <w:rPr>
                <w:rFonts w:ascii="Cambria Math" w:hAnsi="Cambria Math" w:cs="Arial"/>
              </w:rPr>
              <m:t>|</m:t>
            </m:r>
            <m:sSub>
              <m:sSubPr>
                <m:ctrlPr>
                  <w:rPr>
                    <w:rFonts w:ascii="Cambria Math" w:hAnsi="Cambria Math" w:cs="Arial"/>
                    <w:i/>
                  </w:rPr>
                </m:ctrlPr>
              </m:sSubPr>
              <m:e>
                <m:r>
                  <m:rPr>
                    <m:sty m:val="b"/>
                  </m:rPr>
                  <w:rPr>
                    <w:rFonts w:ascii="Cambria Math" w:hAnsi="Cambria Math" w:cs="Arial"/>
                  </w:rPr>
                  <m:t>x</m:t>
                </m:r>
              </m:e>
              <m:sub>
                <m:r>
                  <w:rPr>
                    <w:rFonts w:ascii="Cambria Math" w:hAnsi="Cambria Math" w:cs="Arial"/>
                  </w:rPr>
                  <m:t>i</m:t>
                </m:r>
              </m:sub>
            </m:sSub>
            <m:r>
              <w:rPr>
                <w:rFonts w:ascii="Cambria Math" w:hAnsi="Cambria Math" w:cs="Arial"/>
              </w:rPr>
              <m:t>,σ</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N</m:t>
            </m:r>
            <m:sSup>
              <m:sSupPr>
                <m:ctrlPr>
                  <w:rPr>
                    <w:rFonts w:ascii="Cambria Math" w:hAnsi="Cambria Math" w:cs="Arial"/>
                    <w:i/>
                  </w:rPr>
                </m:ctrlPr>
              </m:sSupPr>
              <m:e>
                <m:r>
                  <w:rPr>
                    <w:rFonts w:ascii="Cambria Math" w:hAnsi="Cambria Math" w:cs="Arial"/>
                  </w:rPr>
                  <m:t>(2π)</m:t>
                </m:r>
              </m:e>
              <m:sup>
                <m:r>
                  <w:rPr>
                    <w:rFonts w:ascii="Cambria Math" w:hAnsi="Cambria Math" w:cs="Arial"/>
                  </w:rPr>
                  <m:t>D/2</m:t>
                </m:r>
              </m:sup>
            </m:sSup>
            <m:sSup>
              <m:sSupPr>
                <m:ctrlPr>
                  <w:rPr>
                    <w:rFonts w:ascii="Cambria Math" w:hAnsi="Cambria Math" w:cs="Arial"/>
                    <w:i/>
                  </w:rPr>
                </m:ctrlPr>
              </m:sSupPr>
              <m:e>
                <m:r>
                  <w:rPr>
                    <w:rFonts w:ascii="Cambria Math" w:hAnsi="Cambria Math" w:cs="Arial"/>
                  </w:rPr>
                  <m:t>σ</m:t>
                </m:r>
              </m:e>
              <m:sup>
                <m:r>
                  <w:rPr>
                    <w:rFonts w:ascii="Cambria Math" w:hAnsi="Cambria Math" w:cs="Arial"/>
                  </w:rPr>
                  <m:t>D</m:t>
                </m:r>
              </m:sup>
            </m:sSup>
          </m:den>
        </m:f>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r>
              <m:rPr>
                <m:sty m:val="p"/>
              </m:rPr>
              <w:rPr>
                <w:rFonts w:ascii="Cambria Math" w:hAnsi="Cambria Math" w:cs="Arial"/>
              </w:rPr>
              <m:t>exp</m:t>
            </m:r>
            <m:d>
              <m:dPr>
                <m:ctrlPr>
                  <w:rPr>
                    <w:rFonts w:ascii="Cambria Math" w:hAnsi="Cambria Math" w:cs="Arial"/>
                    <w:i/>
                  </w:rPr>
                </m:ctrlPr>
              </m:dPr>
              <m:e>
                <m:f>
                  <m:fPr>
                    <m:ctrlPr>
                      <w:rPr>
                        <w:rFonts w:ascii="Cambria Math" w:hAnsi="Cambria Math" w:cs="Arial"/>
                        <w:i/>
                      </w:rPr>
                    </m:ctrlPr>
                  </m:fPr>
                  <m:num>
                    <m:r>
                      <w:rPr>
                        <w:rFonts w:ascii="Cambria Math" w:hAnsi="Cambria Math" w:cs="Arial"/>
                      </w:rPr>
                      <m:t>-</m:t>
                    </m:r>
                    <m:sSup>
                      <m:sSupPr>
                        <m:ctrlPr>
                          <w:rPr>
                            <w:rFonts w:ascii="Cambria Math" w:hAnsi="Cambria Math" w:cs="Arial"/>
                            <w:i/>
                          </w:rPr>
                        </m:ctrlPr>
                      </m:sSupPr>
                      <m:e>
                        <m:d>
                          <m:dPr>
                            <m:begChr m:val="|"/>
                            <m:endChr m:val="|"/>
                            <m:ctrlPr>
                              <w:rPr>
                                <w:rFonts w:ascii="Cambria Math" w:hAnsi="Cambria Math" w:cs="Arial"/>
                                <w:i/>
                              </w:rPr>
                            </m:ctrlPr>
                          </m:dPr>
                          <m:e>
                            <m:r>
                              <m:rPr>
                                <m:sty m:val="b"/>
                              </m:rPr>
                              <w:rPr>
                                <w:rFonts w:ascii="Cambria Math" w:hAnsi="Cambria Math" w:cs="Arial"/>
                              </w:rPr>
                              <m:t>x</m:t>
                            </m:r>
                            <m:r>
                              <w:rPr>
                                <w:rFonts w:ascii="Cambria Math" w:hAnsi="Cambria Math" w:cs="Arial"/>
                              </w:rPr>
                              <m:t>-</m:t>
                            </m:r>
                            <m:sSub>
                              <m:sSubPr>
                                <m:ctrlPr>
                                  <w:rPr>
                                    <w:rFonts w:ascii="Cambria Math" w:hAnsi="Cambria Math" w:cs="Arial"/>
                                    <w:i/>
                                  </w:rPr>
                                </m:ctrlPr>
                              </m:sSubPr>
                              <m:e>
                                <m:r>
                                  <m:rPr>
                                    <m:sty m:val="b"/>
                                  </m:rPr>
                                  <w:rPr>
                                    <w:rFonts w:ascii="Cambria Math" w:hAnsi="Cambria Math" w:cs="Arial"/>
                                  </w:rPr>
                                  <m:t>x</m:t>
                                </m:r>
                              </m:e>
                              <m:sub>
                                <m:r>
                                  <w:rPr>
                                    <w:rFonts w:ascii="Cambria Math" w:hAnsi="Cambria Math" w:cs="Arial"/>
                                  </w:rPr>
                                  <m:t>i</m:t>
                                </m:r>
                              </m:sub>
                            </m:sSub>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e>
            </m:d>
          </m:e>
        </m:nary>
      </m:oMath>
      <w:r w:rsidR="001D3642" w:rsidRPr="00932742">
        <w:rPr>
          <w:rFonts w:ascii="Arial" w:hAnsi="Arial" w:cs="Arial"/>
        </w:rPr>
        <w:t xml:space="preserve">    </w:t>
      </w:r>
      <w:r w:rsidR="00182574" w:rsidRPr="00932742">
        <w:rPr>
          <w:rFonts w:ascii="Arial" w:hAnsi="Arial" w:cs="Arial"/>
        </w:rPr>
        <w:t xml:space="preserve">                  </w:t>
      </w:r>
      <w:r w:rsidR="00182574" w:rsidRPr="00932742">
        <w:rPr>
          <w:rFonts w:ascii="Arial" w:hAnsi="Arial" w:cs="Arial"/>
        </w:rPr>
        <w:tab/>
      </w:r>
      <w:r w:rsidR="00182574" w:rsidRPr="00932742">
        <w:rPr>
          <w:rFonts w:ascii="Arial" w:hAnsi="Arial" w:cs="Arial"/>
        </w:rPr>
        <w:tab/>
      </w:r>
      <w:r w:rsidR="001D3642" w:rsidRPr="00932742">
        <w:rPr>
          <w:rFonts w:ascii="Arial" w:hAnsi="Arial" w:cs="Arial"/>
        </w:rPr>
        <w:t>(</w:t>
      </w:r>
      <w:r w:rsidR="00AB0E0B" w:rsidRPr="00932742">
        <w:rPr>
          <w:rFonts w:ascii="Arial" w:hAnsi="Arial" w:cs="Arial"/>
        </w:rPr>
        <w:t>SM1-</w:t>
      </w:r>
      <w:r w:rsidR="001D3642" w:rsidRPr="00932742">
        <w:rPr>
          <w:rFonts w:ascii="Arial" w:hAnsi="Arial" w:cs="Arial"/>
        </w:rPr>
        <w:t>1)</w:t>
      </w:r>
    </w:p>
    <w:p w14:paraId="69E005AE" w14:textId="20504838" w:rsidR="00ED267C" w:rsidRPr="00932742" w:rsidRDefault="00935DB3" w:rsidP="00617C68">
      <w:pPr>
        <w:pStyle w:val="Normal1"/>
        <w:spacing w:after="120" w:line="288" w:lineRule="auto"/>
        <w:rPr>
          <w:rFonts w:ascii="Arial" w:hAnsi="Arial" w:cs="Arial"/>
          <w:b/>
          <w:bCs/>
          <w:iCs/>
        </w:rPr>
      </w:pPr>
      <w:r w:rsidRPr="00932742">
        <w:rPr>
          <w:rFonts w:ascii="Arial" w:hAnsi="Arial" w:cs="Arial"/>
        </w:rPr>
        <w:t>This is a weighted sum of Gaussian kernels, each with identical variance</w:t>
      </w:r>
      <w:r w:rsidR="00B30D08" w:rsidRPr="00932742">
        <w:rPr>
          <w:rFonts w:ascii="Arial" w:hAnsi="Arial" w:cs="Arial"/>
        </w:rPr>
        <w:t xml:space="preserve"> </w:t>
      </w:r>
      <m:oMath>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oMath>
      <w:r w:rsidR="00B30D08" w:rsidRPr="00932742">
        <w:rPr>
          <w:rFonts w:ascii="Arial" w:hAnsi="Arial" w:cs="Arial"/>
        </w:rPr>
        <w:t xml:space="preserve"> (i.e., isotropic kernels), centred on the observation sets </w:t>
      </w:r>
      <m:oMath>
        <m:sSub>
          <m:sSubPr>
            <m:ctrlPr>
              <w:rPr>
                <w:rFonts w:ascii="Cambria Math" w:hAnsi="Cambria Math" w:cs="Arial"/>
                <w:b/>
                <w:bCs/>
                <w:i/>
                <w:iCs/>
              </w:rPr>
            </m:ctrlPr>
          </m:sSubPr>
          <m:e>
            <m:r>
              <m:rPr>
                <m:sty m:val="b"/>
              </m:rPr>
              <w:rPr>
                <w:rFonts w:ascii="Cambria Math" w:hAnsi="Cambria Math" w:cs="Arial"/>
              </w:rPr>
              <m:t>x</m:t>
            </m:r>
          </m:e>
          <m:sub>
            <m:r>
              <m:rPr>
                <m:sty m:val="bi"/>
              </m:rPr>
              <w:rPr>
                <w:rFonts w:ascii="Cambria Math" w:hAnsi="Cambria Math" w:cs="Arial"/>
              </w:rPr>
              <m:t>1</m:t>
            </m:r>
          </m:sub>
        </m:sSub>
        <m:r>
          <m:rPr>
            <m:sty m:val="bi"/>
          </m:rPr>
          <w:rPr>
            <w:rFonts w:ascii="Cambria Math" w:hAnsi="Cambria Math" w:cs="Arial"/>
          </w:rPr>
          <m:t>,…,</m:t>
        </m:r>
        <m:sSub>
          <m:sSubPr>
            <m:ctrlPr>
              <w:rPr>
                <w:rFonts w:ascii="Cambria Math" w:hAnsi="Cambria Math" w:cs="Arial"/>
                <w:b/>
                <w:bCs/>
                <w:i/>
                <w:iCs/>
              </w:rPr>
            </m:ctrlPr>
          </m:sSubPr>
          <m:e>
            <m:r>
              <m:rPr>
                <m:sty m:val="b"/>
              </m:rPr>
              <w:rPr>
                <w:rFonts w:ascii="Cambria Math" w:hAnsi="Cambria Math" w:cs="Arial"/>
              </w:rPr>
              <m:t>x</m:t>
            </m:r>
          </m:e>
          <m:sub>
            <m:r>
              <m:rPr>
                <m:sty m:val="bi"/>
              </m:rPr>
              <w:rPr>
                <w:rFonts w:ascii="Cambria Math" w:hAnsi="Cambria Math" w:cs="Arial"/>
              </w:rPr>
              <m:t>N</m:t>
            </m:r>
          </m:sub>
        </m:sSub>
      </m:oMath>
      <w:r w:rsidR="00A803F3" w:rsidRPr="00932742">
        <w:rPr>
          <w:rFonts w:ascii="Arial" w:hAnsi="Arial" w:cs="Arial"/>
          <w:b/>
          <w:bCs/>
          <w:iCs/>
        </w:rPr>
        <w:t xml:space="preserve">. </w:t>
      </w:r>
    </w:p>
    <w:p w14:paraId="42EF4284" w14:textId="7AAFBAB5" w:rsidR="00A803F3" w:rsidRPr="00932742" w:rsidRDefault="00A803F3" w:rsidP="00617C68">
      <w:pPr>
        <w:pStyle w:val="Normal1"/>
        <w:spacing w:after="120" w:line="288" w:lineRule="auto"/>
        <w:rPr>
          <w:rFonts w:ascii="Arial" w:hAnsi="Arial" w:cs="Arial"/>
          <w:iCs/>
        </w:rPr>
      </w:pPr>
      <w:r w:rsidRPr="00932742">
        <w:rPr>
          <w:rFonts w:ascii="Arial" w:hAnsi="Arial" w:cs="Arial"/>
          <w:iCs/>
        </w:rPr>
        <w:t>The nearest-neighbour method was used to estimate the variance. Briefly, this method involves determining the squared Eucl</w:t>
      </w:r>
      <w:r w:rsidR="00E21558" w:rsidRPr="00932742">
        <w:rPr>
          <w:rFonts w:ascii="Arial" w:hAnsi="Arial" w:cs="Arial"/>
          <w:iCs/>
        </w:rPr>
        <w:t>idean distance</w:t>
      </w:r>
      <w:r w:rsidR="00471CC4" w:rsidRPr="00932742">
        <w:rPr>
          <w:rFonts w:ascii="Arial" w:hAnsi="Arial" w:cs="Arial"/>
          <w:iCs/>
        </w:rPr>
        <w:t xml:space="preserve"> (</w:t>
      </w:r>
      <m:oMath>
        <m:r>
          <w:rPr>
            <w:rFonts w:ascii="Cambria Math" w:hAnsi="Cambria Math" w:cs="Arial"/>
          </w:rPr>
          <m:t>∆</m:t>
        </m:r>
      </m:oMath>
      <w:r w:rsidR="00471CC4" w:rsidRPr="00932742">
        <w:rPr>
          <w:rFonts w:ascii="Arial" w:hAnsi="Arial" w:cs="Arial"/>
          <w:iCs/>
        </w:rPr>
        <w:t>) for each observation</w:t>
      </w:r>
      <w:r w:rsidR="00C766EB" w:rsidRPr="00932742">
        <w:rPr>
          <w:rFonts w:ascii="Arial" w:hAnsi="Arial" w:cs="Arial"/>
          <w:iCs/>
        </w:rPr>
        <w:t xml:space="preserve"> </w:t>
      </w:r>
      <m:oMath>
        <m:r>
          <w:rPr>
            <w:rFonts w:ascii="Cambria Math" w:hAnsi="Cambria Math" w:cs="Arial"/>
          </w:rPr>
          <m:t>i</m:t>
        </m:r>
      </m:oMath>
      <w:r w:rsidR="00C766EB" w:rsidRPr="007364EA">
        <w:rPr>
          <w:rFonts w:ascii="Arial" w:hAnsi="Arial" w:cs="Arial"/>
          <w:iCs/>
        </w:rPr>
        <w:t xml:space="preserve"> </w:t>
      </w:r>
      <w:r w:rsidR="00471CC4" w:rsidRPr="00B56350">
        <w:rPr>
          <w:rFonts w:ascii="Arial" w:hAnsi="Arial" w:cs="Arial"/>
          <w:iCs/>
        </w:rPr>
        <w:t>to its 10 nearest neighbours (</w:t>
      </w:r>
      <w:r w:rsidR="00471CC4" w:rsidRPr="00B56350">
        <w:rPr>
          <w:rFonts w:ascii="Arial" w:hAnsi="Arial" w:cs="Arial"/>
          <w:i/>
        </w:rPr>
        <w:t>NNs</w:t>
      </w:r>
      <w:r w:rsidR="00471CC4" w:rsidRPr="005C41B0">
        <w:rPr>
          <w:rFonts w:ascii="Arial" w:hAnsi="Arial" w:cs="Arial"/>
          <w:iCs/>
        </w:rPr>
        <w:t>)</w:t>
      </w:r>
      <w:r w:rsidR="00182574" w:rsidRPr="00F54C87">
        <w:rPr>
          <w:rFonts w:ascii="Arial" w:hAnsi="Arial" w:cs="Arial"/>
          <w:iCs/>
        </w:rPr>
        <w:t>, as shown in (</w:t>
      </w:r>
      <w:r w:rsidR="00AB0E0B" w:rsidRPr="00F54C87">
        <w:rPr>
          <w:rFonts w:ascii="Arial" w:hAnsi="Arial" w:cs="Arial"/>
          <w:iCs/>
        </w:rPr>
        <w:t>SM1-</w:t>
      </w:r>
      <w:r w:rsidR="00182574" w:rsidRPr="00F54C87">
        <w:rPr>
          <w:rFonts w:ascii="Arial" w:hAnsi="Arial" w:cs="Arial"/>
          <w:iCs/>
        </w:rPr>
        <w:t>2).</w:t>
      </w:r>
    </w:p>
    <w:p w14:paraId="6337D060" w14:textId="55C90238" w:rsidR="00182574" w:rsidRPr="00932742" w:rsidRDefault="00504599" w:rsidP="00182574">
      <w:pPr>
        <w:pStyle w:val="Normal1"/>
        <w:spacing w:after="120" w:line="288" w:lineRule="auto"/>
        <w:rPr>
          <w:rFonts w:ascii="Arial" w:hAnsi="Arial" w:cs="Arial"/>
        </w:rPr>
      </w:pPr>
      <m:oMath>
        <m:sSub>
          <m:sSubPr>
            <m:ctrlPr>
              <w:rPr>
                <w:rFonts w:ascii="Cambria Math" w:hAnsi="Cambria Math" w:cs="Arial"/>
                <w:i/>
              </w:rPr>
            </m:ctrlPr>
          </m:sSubPr>
          <m:e>
            <m:r>
              <w:rPr>
                <w:rFonts w:ascii="Cambria Math" w:hAnsi="Cambria Math" w:cs="Arial"/>
              </w:rPr>
              <m:t>∆</m:t>
            </m:r>
          </m:e>
          <m:sub>
            <m:r>
              <w:rPr>
                <w:rFonts w:ascii="Cambria Math" w:hAnsi="Cambria Math" w:cs="Arial"/>
              </w:rPr>
              <m:t>i</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10</m:t>
            </m:r>
          </m:den>
        </m:f>
        <m:nary>
          <m:naryPr>
            <m:chr m:val="∑"/>
            <m:limLoc m:val="undOvr"/>
            <m:supHide m:val="1"/>
            <m:ctrlPr>
              <w:rPr>
                <w:rFonts w:ascii="Cambria Math" w:hAnsi="Cambria Math" w:cs="Arial"/>
                <w:i/>
              </w:rPr>
            </m:ctrlPr>
          </m:naryPr>
          <m:sub>
            <m:r>
              <w:rPr>
                <w:rFonts w:ascii="Cambria Math" w:hAnsi="Cambria Math" w:cs="Arial"/>
              </w:rPr>
              <m:t>j∈{NNs}</m:t>
            </m:r>
          </m:sub>
          <m:sup/>
          <m:e>
            <m:d>
              <m:dPr>
                <m:begChr m:val="‖"/>
                <m:endChr m:val="‖"/>
                <m:ctrlPr>
                  <w:rPr>
                    <w:rFonts w:ascii="Cambria Math" w:hAnsi="Cambria Math" w:cs="Arial"/>
                    <w:i/>
                  </w:rPr>
                </m:ctrlPr>
              </m:dPr>
              <m:e>
                <m:sSub>
                  <m:sSubPr>
                    <m:ctrlPr>
                      <w:rPr>
                        <w:rFonts w:ascii="Cambria Math" w:hAnsi="Cambria Math" w:cs="Arial"/>
                        <w:i/>
                      </w:rPr>
                    </m:ctrlPr>
                  </m:sSubPr>
                  <m:e>
                    <m:r>
                      <m:rPr>
                        <m:sty m:val="b"/>
                      </m:rP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m:rPr>
                        <m:sty m:val="b"/>
                      </m:rPr>
                      <w:rPr>
                        <w:rFonts w:ascii="Cambria Math" w:hAnsi="Cambria Math" w:cs="Arial"/>
                      </w:rPr>
                      <m:t>x</m:t>
                    </m:r>
                  </m:e>
                  <m:sub>
                    <m:r>
                      <w:rPr>
                        <w:rFonts w:ascii="Cambria Math" w:hAnsi="Cambria Math" w:cs="Arial"/>
                      </w:rPr>
                      <m:t>j</m:t>
                    </m:r>
                  </m:sub>
                </m:sSub>
              </m:e>
            </m:d>
          </m:e>
        </m:nary>
      </m:oMath>
      <w:r w:rsidR="00182574" w:rsidRPr="00932742">
        <w:rPr>
          <w:rFonts w:ascii="Arial" w:hAnsi="Arial" w:cs="Arial"/>
        </w:rPr>
        <w:t xml:space="preserve">                      </w:t>
      </w:r>
      <w:r w:rsidR="00182574" w:rsidRPr="00932742">
        <w:rPr>
          <w:rFonts w:ascii="Arial" w:hAnsi="Arial" w:cs="Arial"/>
        </w:rPr>
        <w:tab/>
      </w:r>
      <w:r w:rsidR="00182574" w:rsidRPr="00932742">
        <w:rPr>
          <w:rFonts w:ascii="Arial" w:hAnsi="Arial" w:cs="Arial"/>
        </w:rPr>
        <w:tab/>
      </w:r>
      <w:r w:rsidR="002C1798" w:rsidRPr="00932742">
        <w:rPr>
          <w:rFonts w:ascii="Arial" w:hAnsi="Arial" w:cs="Arial"/>
        </w:rPr>
        <w:tab/>
      </w:r>
      <w:r w:rsidR="002C1798" w:rsidRPr="00932742">
        <w:rPr>
          <w:rFonts w:ascii="Arial" w:hAnsi="Arial" w:cs="Arial"/>
        </w:rPr>
        <w:tab/>
      </w:r>
      <w:r w:rsidR="00182574" w:rsidRPr="00932742">
        <w:rPr>
          <w:rFonts w:ascii="Arial" w:hAnsi="Arial" w:cs="Arial"/>
        </w:rPr>
        <w:t>(</w:t>
      </w:r>
      <w:r w:rsidR="00AB0E0B" w:rsidRPr="00932742">
        <w:rPr>
          <w:rFonts w:ascii="Arial" w:hAnsi="Arial" w:cs="Arial"/>
        </w:rPr>
        <w:t>SM1-</w:t>
      </w:r>
      <w:r w:rsidR="002C1798" w:rsidRPr="00932742">
        <w:rPr>
          <w:rFonts w:ascii="Arial" w:hAnsi="Arial" w:cs="Arial"/>
        </w:rPr>
        <w:t>2</w:t>
      </w:r>
      <w:r w:rsidR="00182574" w:rsidRPr="00932742">
        <w:rPr>
          <w:rFonts w:ascii="Arial" w:hAnsi="Arial" w:cs="Arial"/>
        </w:rPr>
        <w:t>)</w:t>
      </w:r>
    </w:p>
    <w:p w14:paraId="04C48F02" w14:textId="2499E5E0" w:rsidR="002C1798" w:rsidRPr="00932742" w:rsidRDefault="00C766EB" w:rsidP="00182574">
      <w:pPr>
        <w:pStyle w:val="Normal1"/>
        <w:spacing w:after="120" w:line="288" w:lineRule="auto"/>
        <w:rPr>
          <w:rFonts w:ascii="Arial" w:hAnsi="Arial" w:cs="Arial"/>
        </w:rPr>
      </w:pPr>
      <w:r w:rsidRPr="00932742">
        <w:rPr>
          <w:rFonts w:ascii="Arial" w:hAnsi="Arial" w:cs="Arial"/>
        </w:rPr>
        <w:t>This quantity</w:t>
      </w:r>
      <w:r w:rsidR="00AC1EBD" w:rsidRPr="00932742">
        <w:rPr>
          <w:rFonts w:ascii="Arial" w:hAnsi="Arial" w:cs="Arial"/>
        </w:rPr>
        <w:t xml:space="preserve">, </w:t>
      </w:r>
      <m:oMath>
        <m:r>
          <w:rPr>
            <w:rFonts w:ascii="Cambria Math" w:hAnsi="Cambria Math" w:cs="Arial"/>
          </w:rPr>
          <m:t>∆</m:t>
        </m:r>
      </m:oMath>
      <w:r w:rsidR="00AC1EBD" w:rsidRPr="00932742">
        <w:rPr>
          <w:rFonts w:ascii="Arial" w:hAnsi="Arial" w:cs="Arial"/>
          <w:iCs/>
        </w:rPr>
        <w:t xml:space="preserve">, is then used to estimate the variance </w:t>
      </w:r>
      <m:oMath>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oMath>
      <w:r w:rsidR="00396CC7" w:rsidRPr="00932742">
        <w:rPr>
          <w:rFonts w:ascii="Arial" w:hAnsi="Arial" w:cs="Arial"/>
        </w:rPr>
        <w:t>, as shown in (</w:t>
      </w:r>
      <w:r w:rsidR="007C734F" w:rsidRPr="00932742">
        <w:rPr>
          <w:rFonts w:ascii="Arial" w:hAnsi="Arial" w:cs="Arial"/>
        </w:rPr>
        <w:t>SM1-</w:t>
      </w:r>
      <w:r w:rsidR="00396CC7" w:rsidRPr="00932742">
        <w:rPr>
          <w:rFonts w:ascii="Arial" w:hAnsi="Arial" w:cs="Arial"/>
        </w:rPr>
        <w:t>3).</w:t>
      </w:r>
    </w:p>
    <w:p w14:paraId="76B7805E" w14:textId="395C0573" w:rsidR="00396CC7" w:rsidRPr="00932742" w:rsidRDefault="00396CC7" w:rsidP="00396CC7">
      <w:pPr>
        <w:pStyle w:val="Normal1"/>
        <w:spacing w:after="120" w:line="288" w:lineRule="auto"/>
        <w:rPr>
          <w:rFonts w:ascii="Arial" w:hAnsi="Arial" w:cs="Arial"/>
        </w:rPr>
      </w:pPr>
      <m:oMath>
        <m:r>
          <w:rPr>
            <w:rFonts w:ascii="Cambria Math" w:hAnsi="Cambria Math" w:cs="Arial"/>
          </w:rPr>
          <m:t>σ=</m:t>
        </m:r>
        <m:f>
          <m:fPr>
            <m:ctrlPr>
              <w:rPr>
                <w:rFonts w:ascii="Cambria Math" w:hAnsi="Cambria Math" w:cs="Arial"/>
                <w:i/>
              </w:rPr>
            </m:ctrlPr>
          </m:fPr>
          <m:num>
            <m:r>
              <w:rPr>
                <w:rFonts w:ascii="Cambria Math" w:hAnsi="Cambria Math" w:cs="Arial"/>
              </w:rPr>
              <m:t>1</m:t>
            </m:r>
          </m:num>
          <m:den>
            <m:r>
              <w:rPr>
                <w:rFonts w:ascii="Cambria Math" w:hAnsi="Cambria Math" w:cs="Arial"/>
              </w:rPr>
              <m:t>N</m:t>
            </m:r>
          </m:den>
        </m:f>
        <m:nary>
          <m:naryPr>
            <m:chr m:val="∑"/>
            <m:limLoc m:val="subSup"/>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m:t>
                </m:r>
              </m:e>
              <m:sub>
                <m:r>
                  <w:rPr>
                    <w:rFonts w:ascii="Cambria Math" w:hAnsi="Cambria Math" w:cs="Arial"/>
                  </w:rPr>
                  <m:t>i</m:t>
                </m:r>
              </m:sub>
            </m:sSub>
          </m:e>
        </m:nary>
      </m:oMath>
      <w:r w:rsidRPr="00932742">
        <w:rPr>
          <w:rFonts w:ascii="Arial" w:hAnsi="Arial" w:cs="Arial"/>
        </w:rPr>
        <w:t xml:space="preserve">                      </w:t>
      </w:r>
      <w:r w:rsidRPr="00932742">
        <w:rPr>
          <w:rFonts w:ascii="Arial" w:hAnsi="Arial" w:cs="Arial"/>
        </w:rPr>
        <w:tab/>
      </w:r>
      <w:r w:rsidRPr="00932742">
        <w:rPr>
          <w:rFonts w:ascii="Arial" w:hAnsi="Arial" w:cs="Arial"/>
        </w:rPr>
        <w:tab/>
      </w:r>
      <w:r w:rsidRPr="00932742">
        <w:rPr>
          <w:rFonts w:ascii="Arial" w:hAnsi="Arial" w:cs="Arial"/>
        </w:rPr>
        <w:tab/>
      </w:r>
      <w:r w:rsidRPr="00932742">
        <w:rPr>
          <w:rFonts w:ascii="Arial" w:hAnsi="Arial" w:cs="Arial"/>
        </w:rPr>
        <w:tab/>
      </w:r>
      <w:r w:rsidR="005642C1" w:rsidRPr="00932742">
        <w:rPr>
          <w:rFonts w:ascii="Arial" w:hAnsi="Arial" w:cs="Arial"/>
        </w:rPr>
        <w:tab/>
      </w:r>
      <w:r w:rsidR="005642C1" w:rsidRPr="00932742">
        <w:rPr>
          <w:rFonts w:ascii="Arial" w:hAnsi="Arial" w:cs="Arial"/>
        </w:rPr>
        <w:tab/>
      </w:r>
      <w:r w:rsidRPr="00932742">
        <w:rPr>
          <w:rFonts w:ascii="Arial" w:hAnsi="Arial" w:cs="Arial"/>
        </w:rPr>
        <w:t>(</w:t>
      </w:r>
      <w:r w:rsidR="007C734F" w:rsidRPr="00932742">
        <w:rPr>
          <w:rFonts w:ascii="Arial" w:hAnsi="Arial" w:cs="Arial"/>
        </w:rPr>
        <w:t>SM1-</w:t>
      </w:r>
      <w:r w:rsidR="005642C1" w:rsidRPr="00932742">
        <w:rPr>
          <w:rFonts w:ascii="Arial" w:hAnsi="Arial" w:cs="Arial"/>
        </w:rPr>
        <w:t>3</w:t>
      </w:r>
      <w:r w:rsidRPr="00932742">
        <w:rPr>
          <w:rFonts w:ascii="Arial" w:hAnsi="Arial" w:cs="Arial"/>
        </w:rPr>
        <w:t>)</w:t>
      </w:r>
    </w:p>
    <w:p w14:paraId="484D3A42" w14:textId="059E5C73" w:rsidR="00396CC7" w:rsidRPr="005C41B0" w:rsidRDefault="002D059A" w:rsidP="00182574">
      <w:pPr>
        <w:pStyle w:val="Normal1"/>
        <w:spacing w:after="120" w:line="288" w:lineRule="auto"/>
        <w:rPr>
          <w:rFonts w:ascii="Arial" w:hAnsi="Arial" w:cs="Arial"/>
        </w:rPr>
      </w:pPr>
      <w:r w:rsidRPr="00932742">
        <w:rPr>
          <w:rFonts w:ascii="Arial" w:hAnsi="Arial" w:cs="Arial"/>
        </w:rPr>
        <w:t xml:space="preserve">Estimation of the underlying pdf of normal vital-sign data provides a means of quantifying </w:t>
      </w:r>
      <w:r w:rsidR="00201BAA" w:rsidRPr="00932742">
        <w:rPr>
          <w:rFonts w:ascii="Arial" w:hAnsi="Arial" w:cs="Arial"/>
        </w:rPr>
        <w:t xml:space="preserve">the degree </w:t>
      </w:r>
      <w:r w:rsidR="00560B7E" w:rsidRPr="00932742">
        <w:rPr>
          <w:rFonts w:ascii="Arial" w:hAnsi="Arial" w:cs="Arial"/>
        </w:rPr>
        <w:t xml:space="preserve">to which a given set of observations is abnormal. The likelihood </w:t>
      </w:r>
      <m:oMath>
        <m:r>
          <w:rPr>
            <w:rFonts w:ascii="Cambria Math" w:hAnsi="Cambria Math" w:cs="Arial"/>
          </w:rPr>
          <m:t>p(</m:t>
        </m:r>
        <m:r>
          <m:rPr>
            <m:sty m:val="b"/>
          </m:rPr>
          <w:rPr>
            <w:rFonts w:ascii="Cambria Math" w:hAnsi="Cambria Math" w:cs="Arial"/>
          </w:rPr>
          <m:t>x</m:t>
        </m:r>
        <m:r>
          <w:rPr>
            <w:rFonts w:ascii="Cambria Math" w:hAnsi="Cambria Math" w:cs="Arial"/>
          </w:rPr>
          <m:t>|</m:t>
        </m:r>
        <m:sSub>
          <m:sSubPr>
            <m:ctrlPr>
              <w:rPr>
                <w:rFonts w:ascii="Cambria Math" w:hAnsi="Cambria Math" w:cs="Arial"/>
                <w:b/>
                <w:bCs/>
                <w:iCs/>
              </w:rPr>
            </m:ctrlPr>
          </m:sSubPr>
          <m:e>
            <m:r>
              <m:rPr>
                <m:sty m:val="b"/>
              </m:rPr>
              <w:rPr>
                <w:rFonts w:ascii="Cambria Math" w:hAnsi="Cambria Math" w:cs="Arial"/>
              </w:rPr>
              <m:t>x</m:t>
            </m:r>
            <m:ctrlPr>
              <w:rPr>
                <w:rFonts w:ascii="Cambria Math" w:hAnsi="Cambria Math" w:cs="Arial"/>
                <w:i/>
              </w:rPr>
            </m:ctrlPr>
          </m:e>
          <m:sub>
            <m:r>
              <w:rPr>
                <w:rFonts w:ascii="Cambria Math" w:hAnsi="Cambria Math" w:cs="Arial"/>
              </w:rPr>
              <m:t>i</m:t>
            </m:r>
          </m:sub>
        </m:sSub>
        <m:r>
          <w:rPr>
            <w:rFonts w:ascii="Cambria Math" w:hAnsi="Cambria Math" w:cs="Arial"/>
          </w:rPr>
          <m:t>,σ)</m:t>
        </m:r>
      </m:oMath>
      <w:r w:rsidR="00EC0DDE" w:rsidRPr="00932742">
        <w:rPr>
          <w:rFonts w:ascii="Arial" w:hAnsi="Arial" w:cs="Arial"/>
        </w:rPr>
        <w:t xml:space="preserve">, a measure which represents the probability of observing a set of measurements given a </w:t>
      </w:r>
      <w:r w:rsidR="001D468E" w:rsidRPr="00B56350">
        <w:rPr>
          <w:rFonts w:ascii="Arial" w:hAnsi="Arial" w:cs="Arial"/>
        </w:rPr>
        <w:t>pdf, can be used for this purpose. Thus, we define the novelty score as in (</w:t>
      </w:r>
      <w:r w:rsidR="007C734F" w:rsidRPr="005C41B0">
        <w:rPr>
          <w:rFonts w:ascii="Arial" w:hAnsi="Arial" w:cs="Arial"/>
        </w:rPr>
        <w:t>SM1-</w:t>
      </w:r>
      <w:r w:rsidR="001D468E" w:rsidRPr="005C41B0">
        <w:rPr>
          <w:rFonts w:ascii="Arial" w:hAnsi="Arial" w:cs="Arial"/>
        </w:rPr>
        <w:t>4).</w:t>
      </w:r>
    </w:p>
    <w:p w14:paraId="551C9712" w14:textId="4E6E7398" w:rsidR="001D468E" w:rsidRPr="00932742" w:rsidRDefault="001D468E" w:rsidP="00182574">
      <w:pPr>
        <w:pStyle w:val="Normal1"/>
        <w:spacing w:after="120" w:line="288" w:lineRule="auto"/>
        <w:rPr>
          <w:rFonts w:ascii="Arial" w:hAnsi="Arial" w:cs="Arial"/>
          <w:iCs/>
        </w:rPr>
      </w:pPr>
      <m:oMath>
        <m:r>
          <w:rPr>
            <w:rFonts w:ascii="Cambria Math" w:hAnsi="Cambria Math" w:cs="Arial"/>
          </w:rPr>
          <m:t>z</m:t>
        </m:r>
        <m:d>
          <m:dPr>
            <m:ctrlPr>
              <w:rPr>
                <w:rFonts w:ascii="Cambria Math" w:hAnsi="Cambria Math" w:cs="Arial"/>
                <w:i/>
              </w:rPr>
            </m:ctrlPr>
          </m:dPr>
          <m:e>
            <m:r>
              <m:rPr>
                <m:sty m:val="b"/>
              </m:rPr>
              <w:rPr>
                <w:rFonts w:ascii="Cambria Math" w:hAnsi="Cambria Math" w:cs="Arial"/>
              </w:rPr>
              <m:t>x</m:t>
            </m:r>
          </m:e>
        </m:d>
        <m:r>
          <w:rPr>
            <w:rFonts w:ascii="Cambria Math" w:hAnsi="Cambria Math" w:cs="Arial"/>
          </w:rPr>
          <m:t>=-</m:t>
        </m:r>
        <m:func>
          <m:funcPr>
            <m:ctrlPr>
              <w:rPr>
                <w:rFonts w:ascii="Cambria Math" w:hAnsi="Cambria Math" w:cs="Arial"/>
                <w:iCs/>
              </w:rPr>
            </m:ctrlPr>
          </m:funcPr>
          <m:fName>
            <m:r>
              <m:rPr>
                <m:sty m:val="p"/>
              </m:rPr>
              <w:rPr>
                <w:rFonts w:ascii="Cambria Math" w:hAnsi="Cambria Math" w:cs="Arial"/>
              </w:rPr>
              <m:t>log</m:t>
            </m:r>
            <m:ctrlPr>
              <w:rPr>
                <w:rFonts w:ascii="Cambria Math" w:hAnsi="Cambria Math" w:cs="Arial"/>
                <w:i/>
              </w:rPr>
            </m:ctrlPr>
          </m:fName>
          <m:e>
            <m:r>
              <w:rPr>
                <w:rFonts w:ascii="Cambria Math" w:hAnsi="Cambria Math" w:cs="Arial"/>
              </w:rPr>
              <m:t>p</m:t>
            </m:r>
            <m:d>
              <m:dPr>
                <m:ctrlPr>
                  <w:rPr>
                    <w:rFonts w:ascii="Cambria Math" w:hAnsi="Cambria Math" w:cs="Arial"/>
                    <w:i/>
                  </w:rPr>
                </m:ctrlPr>
              </m:dPr>
              <m:e>
                <m:r>
                  <m:rPr>
                    <m:sty m:val="b"/>
                  </m:rPr>
                  <w:rPr>
                    <w:rFonts w:ascii="Cambria Math" w:hAnsi="Cambria Math" w:cs="Arial"/>
                  </w:rPr>
                  <m:t>x</m:t>
                </m:r>
                <m:r>
                  <w:rPr>
                    <w:rFonts w:ascii="Cambria Math" w:hAnsi="Cambria Math" w:cs="Arial"/>
                  </w:rPr>
                  <m:t>|</m:t>
                </m:r>
                <m:sSub>
                  <m:sSubPr>
                    <m:ctrlPr>
                      <w:rPr>
                        <w:rFonts w:ascii="Cambria Math" w:hAnsi="Cambria Math" w:cs="Arial"/>
                        <w:i/>
                      </w:rPr>
                    </m:ctrlPr>
                  </m:sSubPr>
                  <m:e>
                    <m:r>
                      <m:rPr>
                        <m:sty m:val="b"/>
                      </m:rPr>
                      <w:rPr>
                        <w:rFonts w:ascii="Cambria Math" w:hAnsi="Cambria Math" w:cs="Arial"/>
                      </w:rPr>
                      <m:t>x</m:t>
                    </m:r>
                  </m:e>
                  <m:sub>
                    <m:r>
                      <w:rPr>
                        <w:rFonts w:ascii="Cambria Math" w:hAnsi="Cambria Math" w:cs="Arial"/>
                      </w:rPr>
                      <m:t>i</m:t>
                    </m:r>
                  </m:sub>
                </m:sSub>
                <m:r>
                  <w:rPr>
                    <w:rFonts w:ascii="Cambria Math" w:hAnsi="Cambria Math" w:cs="Arial"/>
                  </w:rPr>
                  <m:t>,σ</m:t>
                </m:r>
              </m:e>
            </m:d>
          </m:e>
        </m:func>
      </m:oMath>
      <w:r w:rsidR="00F507F2" w:rsidRPr="00932742">
        <w:rPr>
          <w:rFonts w:ascii="Arial" w:hAnsi="Arial" w:cs="Arial"/>
          <w:iCs/>
        </w:rPr>
        <w:t xml:space="preserve">  </w:t>
      </w:r>
      <w:r w:rsidR="00F507F2" w:rsidRPr="00932742">
        <w:rPr>
          <w:rFonts w:ascii="Arial" w:hAnsi="Arial" w:cs="Arial"/>
          <w:iCs/>
        </w:rPr>
        <w:tab/>
      </w:r>
      <w:r w:rsidR="00F507F2" w:rsidRPr="00932742">
        <w:rPr>
          <w:rFonts w:ascii="Arial" w:hAnsi="Arial" w:cs="Arial"/>
          <w:iCs/>
        </w:rPr>
        <w:tab/>
      </w:r>
      <w:r w:rsidR="00F507F2" w:rsidRPr="00932742">
        <w:rPr>
          <w:rFonts w:ascii="Arial" w:hAnsi="Arial" w:cs="Arial"/>
          <w:iCs/>
        </w:rPr>
        <w:tab/>
      </w:r>
      <w:r w:rsidR="00F507F2" w:rsidRPr="00932742">
        <w:rPr>
          <w:rFonts w:ascii="Arial" w:hAnsi="Arial" w:cs="Arial"/>
          <w:iCs/>
        </w:rPr>
        <w:tab/>
      </w:r>
      <w:r w:rsidR="00F507F2" w:rsidRPr="00932742">
        <w:rPr>
          <w:rFonts w:ascii="Arial" w:hAnsi="Arial" w:cs="Arial"/>
          <w:iCs/>
        </w:rPr>
        <w:tab/>
      </w:r>
      <w:r w:rsidR="00F507F2" w:rsidRPr="00932742">
        <w:rPr>
          <w:rFonts w:ascii="Arial" w:hAnsi="Arial" w:cs="Arial"/>
          <w:iCs/>
        </w:rPr>
        <w:tab/>
        <w:t>(</w:t>
      </w:r>
      <w:r w:rsidR="007C734F" w:rsidRPr="00932742">
        <w:rPr>
          <w:rFonts w:ascii="Arial" w:hAnsi="Arial" w:cs="Arial"/>
          <w:iCs/>
        </w:rPr>
        <w:t>SM1-</w:t>
      </w:r>
      <w:r w:rsidR="00F507F2" w:rsidRPr="00932742">
        <w:rPr>
          <w:rFonts w:ascii="Arial" w:hAnsi="Arial" w:cs="Arial"/>
          <w:iCs/>
        </w:rPr>
        <w:t>4)</w:t>
      </w:r>
    </w:p>
    <w:p w14:paraId="0DABF8B0" w14:textId="37E0D48C" w:rsidR="002C79AA" w:rsidRPr="00932742" w:rsidRDefault="00F507F2" w:rsidP="00617C68">
      <w:pPr>
        <w:pStyle w:val="Normal1"/>
        <w:spacing w:after="120" w:line="288" w:lineRule="auto"/>
        <w:rPr>
          <w:rFonts w:ascii="Arial" w:hAnsi="Arial" w:cs="Arial"/>
        </w:rPr>
      </w:pPr>
      <w:r w:rsidRPr="00932742">
        <w:rPr>
          <w:rFonts w:ascii="Arial" w:hAnsi="Arial" w:cs="Arial"/>
          <w:iCs/>
        </w:rPr>
        <w:t xml:space="preserve">For normal data, the new observation </w:t>
      </w:r>
      <m:oMath>
        <m:r>
          <m:rPr>
            <m:sty m:val="b"/>
          </m:rPr>
          <w:rPr>
            <w:rFonts w:ascii="Cambria Math" w:hAnsi="Cambria Math" w:cs="Arial"/>
          </w:rPr>
          <m:t>x</m:t>
        </m:r>
      </m:oMath>
      <w:r w:rsidR="003D51A9" w:rsidRPr="00932742">
        <w:rPr>
          <w:rFonts w:ascii="Arial" w:hAnsi="Arial" w:cs="Arial"/>
          <w:b/>
          <w:bCs/>
          <w:iCs/>
        </w:rPr>
        <w:t xml:space="preserve"> </w:t>
      </w:r>
      <w:r w:rsidR="003D51A9" w:rsidRPr="00932742">
        <w:rPr>
          <w:rFonts w:ascii="Arial" w:hAnsi="Arial" w:cs="Arial"/>
          <w:iCs/>
        </w:rPr>
        <w:t>will be similar to previously-seen normal observations</w:t>
      </w:r>
      <w:r w:rsidR="003D51A9" w:rsidRPr="00932742">
        <w:rPr>
          <w:rFonts w:ascii="Arial" w:hAnsi="Arial" w:cs="Arial"/>
          <w:b/>
          <w:bCs/>
          <w:iCs/>
        </w:rPr>
        <w:t xml:space="preserve"> </w:t>
      </w:r>
      <m:oMath>
        <m:sSub>
          <m:sSubPr>
            <m:ctrlPr>
              <w:rPr>
                <w:rFonts w:ascii="Cambria Math" w:hAnsi="Cambria Math" w:cs="Arial"/>
                <w:b/>
                <w:bCs/>
                <w:i/>
                <w:iCs/>
              </w:rPr>
            </m:ctrlPr>
          </m:sSubPr>
          <m:e>
            <m:r>
              <m:rPr>
                <m:sty m:val="b"/>
              </m:rPr>
              <w:rPr>
                <w:rFonts w:ascii="Cambria Math" w:hAnsi="Cambria Math" w:cs="Arial"/>
              </w:rPr>
              <m:t>x</m:t>
            </m:r>
            <m:ctrlPr>
              <w:rPr>
                <w:rFonts w:ascii="Cambria Math" w:hAnsi="Cambria Math" w:cs="Arial"/>
                <w:b/>
                <w:bCs/>
                <w:iCs/>
              </w:rPr>
            </m:ctrlPr>
          </m:e>
          <m:sub>
            <m:r>
              <w:rPr>
                <w:rFonts w:ascii="Cambria Math" w:hAnsi="Cambria Math" w:cs="Arial"/>
              </w:rPr>
              <m:t>i</m:t>
            </m:r>
          </m:sub>
        </m:sSub>
      </m:oMath>
      <w:r w:rsidR="00D5251E" w:rsidRPr="00932742">
        <w:rPr>
          <w:rFonts w:ascii="Arial" w:hAnsi="Arial" w:cs="Arial"/>
          <w:iCs/>
        </w:rPr>
        <w:t>, and so the likelihood will be high. Consequently, the negative log-likelihood will be low, and so the novelty score</w:t>
      </w:r>
      <w:r w:rsidR="00FF02B1" w:rsidRPr="00932742">
        <w:rPr>
          <w:rFonts w:ascii="Arial" w:hAnsi="Arial" w:cs="Arial"/>
          <w:iCs/>
        </w:rPr>
        <w:t xml:space="preserve"> </w:t>
      </w:r>
      <m:oMath>
        <m:r>
          <w:rPr>
            <w:rFonts w:ascii="Cambria Math" w:hAnsi="Cambria Math" w:cs="Arial"/>
          </w:rPr>
          <m:t>z</m:t>
        </m:r>
        <m:d>
          <m:dPr>
            <m:ctrlPr>
              <w:rPr>
                <w:rFonts w:ascii="Cambria Math" w:hAnsi="Cambria Math" w:cs="Arial"/>
                <w:i/>
              </w:rPr>
            </m:ctrlPr>
          </m:dPr>
          <m:e>
            <m:r>
              <m:rPr>
                <m:sty m:val="b"/>
              </m:rPr>
              <w:rPr>
                <w:rFonts w:ascii="Cambria Math" w:hAnsi="Cambria Math" w:cs="Arial"/>
              </w:rPr>
              <m:t>x</m:t>
            </m:r>
          </m:e>
        </m:d>
      </m:oMath>
      <w:r w:rsidR="00D5251E" w:rsidRPr="00932742">
        <w:rPr>
          <w:rFonts w:ascii="Arial" w:hAnsi="Arial" w:cs="Arial"/>
          <w:iCs/>
        </w:rPr>
        <w:t xml:space="preserve"> will be low</w:t>
      </w:r>
      <w:r w:rsidR="00FF02B1" w:rsidRPr="00932742">
        <w:rPr>
          <w:rFonts w:ascii="Arial" w:hAnsi="Arial" w:cs="Arial"/>
          <w:iCs/>
        </w:rPr>
        <w:t>.</w:t>
      </w:r>
      <w:r w:rsidR="00D5251E" w:rsidRPr="00932742">
        <w:rPr>
          <w:rFonts w:ascii="Arial" w:hAnsi="Arial" w:cs="Arial"/>
          <w:iCs/>
        </w:rPr>
        <w:t xml:space="preserve"> </w:t>
      </w:r>
      <w:r w:rsidR="00FF02B1" w:rsidRPr="00932742">
        <w:rPr>
          <w:rFonts w:ascii="Arial" w:hAnsi="Arial" w:cs="Arial"/>
          <w:iCs/>
        </w:rPr>
        <w:t xml:space="preserve">Conversely, for abnormal data, the data will be </w:t>
      </w:r>
      <w:proofErr w:type="gramStart"/>
      <w:r w:rsidR="00FF02B1" w:rsidRPr="00932742">
        <w:rPr>
          <w:rFonts w:ascii="Arial" w:hAnsi="Arial" w:cs="Arial"/>
          <w:iCs/>
        </w:rPr>
        <w:t>dissimilar</w:t>
      </w:r>
      <w:proofErr w:type="gramEnd"/>
      <w:r w:rsidR="00FF02B1" w:rsidRPr="00932742">
        <w:rPr>
          <w:rFonts w:ascii="Arial" w:hAnsi="Arial" w:cs="Arial"/>
          <w:iCs/>
        </w:rPr>
        <w:t xml:space="preserve"> and the likelihood</w:t>
      </w:r>
      <w:r w:rsidR="00D12EBE" w:rsidRPr="00932742">
        <w:rPr>
          <w:rFonts w:ascii="Arial" w:hAnsi="Arial" w:cs="Arial"/>
          <w:iCs/>
        </w:rPr>
        <w:t xml:space="preserve"> will be low, and consequently the novelty score </w:t>
      </w:r>
      <m:oMath>
        <m:r>
          <w:rPr>
            <w:rFonts w:ascii="Cambria Math" w:hAnsi="Cambria Math" w:cs="Arial"/>
          </w:rPr>
          <m:t>z</m:t>
        </m:r>
        <m:d>
          <m:dPr>
            <m:ctrlPr>
              <w:rPr>
                <w:rFonts w:ascii="Cambria Math" w:hAnsi="Cambria Math" w:cs="Arial"/>
                <w:i/>
              </w:rPr>
            </m:ctrlPr>
          </m:dPr>
          <m:e>
            <m:r>
              <m:rPr>
                <m:sty m:val="b"/>
              </m:rPr>
              <w:rPr>
                <w:rFonts w:ascii="Cambria Math" w:hAnsi="Cambria Math" w:cs="Arial"/>
              </w:rPr>
              <m:t>x</m:t>
            </m:r>
          </m:e>
        </m:d>
      </m:oMath>
      <w:r w:rsidR="00D12EBE" w:rsidRPr="00932742">
        <w:rPr>
          <w:rFonts w:ascii="Arial" w:hAnsi="Arial" w:cs="Arial"/>
        </w:rPr>
        <w:t xml:space="preserve"> will be high. </w:t>
      </w:r>
      <w:r w:rsidR="00274127" w:rsidRPr="00932742">
        <w:rPr>
          <w:rFonts w:ascii="Arial" w:hAnsi="Arial" w:cs="Arial"/>
        </w:rPr>
        <w:t xml:space="preserve">This procedure ensures that the </w:t>
      </w:r>
      <w:r w:rsidR="00274127" w:rsidRPr="00932742">
        <w:rPr>
          <w:rFonts w:ascii="Arial" w:hAnsi="Arial" w:cs="Arial"/>
        </w:rPr>
        <w:lastRenderedPageBreak/>
        <w:t xml:space="preserve">novelty score can be interpreted as </w:t>
      </w:r>
      <w:r w:rsidR="007A3658" w:rsidRPr="00932742">
        <w:rPr>
          <w:rFonts w:ascii="Arial" w:hAnsi="Arial" w:cs="Arial"/>
        </w:rPr>
        <w:t>most early warning scores (EWS), in that high scores are associated with higher abnormality of the vital si</w:t>
      </w:r>
      <w:r w:rsidR="007A3658" w:rsidRPr="00F54C87">
        <w:rPr>
          <w:rFonts w:ascii="Arial" w:hAnsi="Arial" w:cs="Arial"/>
        </w:rPr>
        <w:t>gns.</w:t>
      </w:r>
      <w:r w:rsidR="00C0275B" w:rsidRPr="00932742">
        <w:rPr>
          <w:rFonts w:ascii="Arial" w:hAnsi="Arial" w:cs="Arial"/>
        </w:rPr>
        <w:t xml:space="preserve"> </w:t>
      </w:r>
    </w:p>
    <w:p w14:paraId="294F910F" w14:textId="09916F33" w:rsidR="00B75ED9" w:rsidRDefault="00C0275B" w:rsidP="00617C68">
      <w:pPr>
        <w:pStyle w:val="Normal1"/>
        <w:spacing w:after="120" w:line="288" w:lineRule="auto"/>
        <w:rPr>
          <w:rFonts w:ascii="Arial" w:hAnsi="Arial" w:cs="Arial"/>
        </w:rPr>
      </w:pPr>
      <w:r w:rsidRPr="00932742">
        <w:rPr>
          <w:rFonts w:ascii="Arial" w:hAnsi="Arial" w:cs="Arial"/>
        </w:rPr>
        <w:t xml:space="preserve">In short, this </w:t>
      </w:r>
      <w:r w:rsidR="006E2CFA" w:rsidRPr="00932742">
        <w:rPr>
          <w:rFonts w:ascii="Arial" w:hAnsi="Arial" w:cs="Arial"/>
        </w:rPr>
        <w:t xml:space="preserve">model </w:t>
      </w:r>
      <w:r w:rsidR="00A43D48" w:rsidRPr="00932742">
        <w:rPr>
          <w:rFonts w:ascii="Arial" w:hAnsi="Arial" w:cs="Arial"/>
        </w:rPr>
        <w:t xml:space="preserve">allows the generation of a score </w:t>
      </w:r>
      <w:r w:rsidR="005C41B0">
        <w:rPr>
          <w:rFonts w:ascii="Arial" w:hAnsi="Arial" w:cs="Arial"/>
        </w:rPr>
        <w:t xml:space="preserve">corresponding to an assessment of whether a vital-sign set should be deemed “stable” with respect to the development dataset (i.e., the observation sets used for training the model). By extension, it further allows the model to estimate the degree of abnormality of a given vital-sign observation set. </w:t>
      </w:r>
    </w:p>
    <w:p w14:paraId="63F50578" w14:textId="77777777" w:rsidR="00A768BA" w:rsidRDefault="00A768BA" w:rsidP="00A768BA">
      <w:pPr>
        <w:pStyle w:val="Heading2"/>
        <w:spacing w:after="120" w:line="288" w:lineRule="auto"/>
        <w:rPr>
          <w:rFonts w:cs="Arial"/>
        </w:rPr>
      </w:pPr>
    </w:p>
    <w:p w14:paraId="2B63B2DF" w14:textId="1C67ACAF" w:rsidR="00F54C87" w:rsidRDefault="00A768BA" w:rsidP="004E6EBE">
      <w:pPr>
        <w:pStyle w:val="Heading2"/>
        <w:spacing w:after="120" w:line="288" w:lineRule="auto"/>
        <w:rPr>
          <w:rFonts w:cs="Arial"/>
        </w:rPr>
      </w:pPr>
      <w:r>
        <w:rPr>
          <w:rFonts w:cs="Arial"/>
        </w:rPr>
        <w:t xml:space="preserve">Risk </w:t>
      </w:r>
      <w:r w:rsidR="004E6EBE">
        <w:rPr>
          <w:rFonts w:cs="Arial"/>
        </w:rPr>
        <w:t>S</w:t>
      </w:r>
      <w:r>
        <w:rPr>
          <w:rFonts w:cs="Arial"/>
        </w:rPr>
        <w:t>core</w:t>
      </w:r>
      <w:r w:rsidR="004E6EBE">
        <w:rPr>
          <w:rFonts w:cs="Arial"/>
        </w:rPr>
        <w:t xml:space="preserve"> Index</w:t>
      </w:r>
      <w:r w:rsidRPr="00F54C87">
        <w:rPr>
          <w:rFonts w:cs="Arial"/>
        </w:rPr>
        <w:t xml:space="preserve"> (R</w:t>
      </w:r>
      <w:r w:rsidR="004E6EBE">
        <w:rPr>
          <w:rFonts w:cs="Arial"/>
        </w:rPr>
        <w:t>SI</w:t>
      </w:r>
      <w:r w:rsidRPr="00F54C87">
        <w:rPr>
          <w:rFonts w:cs="Arial"/>
        </w:rPr>
        <w:t>)</w:t>
      </w:r>
    </w:p>
    <w:p w14:paraId="5D2A3C46" w14:textId="77777777" w:rsidR="00A768BA" w:rsidRPr="00174FA5" w:rsidRDefault="00A768BA" w:rsidP="00A768BA">
      <w:pPr>
        <w:spacing w:line="288" w:lineRule="auto"/>
        <w:rPr>
          <w:rFonts w:ascii="Arial" w:hAnsi="Arial" w:cs="Arial"/>
          <w:color w:val="000000" w:themeColor="text1"/>
        </w:rPr>
      </w:pPr>
      <w:r>
        <w:rPr>
          <w:rFonts w:ascii="Arial" w:hAnsi="Arial" w:cs="Arial"/>
          <w:color w:val="000000" w:themeColor="text1"/>
        </w:rPr>
        <w:t xml:space="preserve">An overall </w:t>
      </w:r>
      <w:r w:rsidRPr="00174FA5">
        <w:rPr>
          <w:rFonts w:ascii="Arial" w:hAnsi="Arial" w:cs="Arial"/>
          <w:color w:val="000000" w:themeColor="text1"/>
        </w:rPr>
        <w:t>risk scor</w:t>
      </w:r>
      <w:r>
        <w:rPr>
          <w:rFonts w:ascii="Arial" w:hAnsi="Arial" w:cs="Arial"/>
          <w:color w:val="000000" w:themeColor="text1"/>
        </w:rPr>
        <w:t>e</w:t>
      </w:r>
      <w:r w:rsidRPr="00174FA5">
        <w:rPr>
          <w:rFonts w:ascii="Arial" w:hAnsi="Arial" w:cs="Arial"/>
          <w:color w:val="000000" w:themeColor="text1"/>
        </w:rPr>
        <w:t xml:space="preserve">, the risk score index (RSI), was </w:t>
      </w:r>
      <w:r>
        <w:rPr>
          <w:rFonts w:ascii="Arial" w:hAnsi="Arial" w:cs="Arial"/>
          <w:color w:val="000000" w:themeColor="text1"/>
        </w:rPr>
        <w:t xml:space="preserve">subsequently </w:t>
      </w:r>
      <w:r w:rsidRPr="00174FA5">
        <w:rPr>
          <w:rFonts w:ascii="Arial" w:hAnsi="Arial" w:cs="Arial"/>
          <w:color w:val="000000" w:themeColor="text1"/>
        </w:rPr>
        <w:t xml:space="preserve">determined </w:t>
      </w:r>
      <w:r>
        <w:rPr>
          <w:rFonts w:ascii="Arial" w:hAnsi="Arial" w:cs="Arial"/>
          <w:color w:val="000000" w:themeColor="text1"/>
        </w:rPr>
        <w:t>using a simple time-dependent linear</w:t>
      </w:r>
      <w:r w:rsidRPr="00174FA5">
        <w:rPr>
          <w:rFonts w:ascii="Arial" w:hAnsi="Arial" w:cs="Arial"/>
          <w:color w:val="000000" w:themeColor="text1"/>
        </w:rPr>
        <w:t xml:space="preserve"> combin</w:t>
      </w:r>
      <w:r>
        <w:rPr>
          <w:rFonts w:ascii="Arial" w:hAnsi="Arial" w:cs="Arial"/>
          <w:color w:val="000000" w:themeColor="text1"/>
        </w:rPr>
        <w:t xml:space="preserve">ation of the two constituent risk scores, </w:t>
      </w:r>
      <w:r w:rsidRPr="00174FA5">
        <w:rPr>
          <w:rFonts w:ascii="Arial" w:hAnsi="Arial" w:cs="Arial"/>
          <w:color w:val="000000" w:themeColor="text1"/>
        </w:rPr>
        <w:t>such that:</w:t>
      </w:r>
    </w:p>
    <w:p w14:paraId="38573314" w14:textId="77777777" w:rsidR="00A768BA" w:rsidRPr="00174FA5" w:rsidRDefault="00A768BA" w:rsidP="00A768BA">
      <w:pPr>
        <w:spacing w:line="288" w:lineRule="auto"/>
        <w:rPr>
          <w:rFonts w:ascii="Arial" w:hAnsi="Arial" w:cs="Arial"/>
          <w:color w:val="000000" w:themeColor="text1"/>
        </w:rPr>
      </w:pPr>
    </w:p>
    <w:p w14:paraId="044F6474" w14:textId="42780948" w:rsidR="00A768BA" w:rsidRDefault="00A768BA" w:rsidP="00A768BA">
      <w:pPr>
        <w:spacing w:line="288" w:lineRule="auto"/>
        <w:rPr>
          <w:rFonts w:ascii="Arial" w:hAnsi="Arial" w:cs="Arial"/>
          <w:iCs/>
          <w:color w:val="000000" w:themeColor="text1"/>
        </w:rPr>
      </w:pPr>
      <m:oMath>
        <m:r>
          <m:rPr>
            <m:sty m:val="p"/>
          </m:rPr>
          <w:rPr>
            <w:rFonts w:ascii="Cambria Math" w:hAnsi="Cambria Math" w:cs="Arial"/>
            <w:color w:val="000000" w:themeColor="text1"/>
          </w:rPr>
          <m:t>RSI=</m:t>
        </m:r>
        <m:r>
          <w:rPr>
            <w:rFonts w:ascii="Cambria Math" w:hAnsi="Cambria Math" w:cs="Arial"/>
            <w:color w:val="000000" w:themeColor="text1"/>
          </w:rPr>
          <m:t>β</m:t>
        </m:r>
        <m:d>
          <m:dPr>
            <m:begChr m:val="["/>
            <m:endChr m:val="]"/>
            <m:ctrlPr>
              <w:rPr>
                <w:rFonts w:ascii="Cambria Math" w:hAnsi="Cambria Math" w:cs="Arial"/>
                <w:i/>
                <w:color w:val="000000" w:themeColor="text1"/>
              </w:rPr>
            </m:ctrlPr>
          </m:dPr>
          <m:e>
            <m:d>
              <m:dPr>
                <m:ctrlPr>
                  <w:rPr>
                    <w:rFonts w:ascii="Cambria Math" w:hAnsi="Cambria Math" w:cs="Arial"/>
                    <w:i/>
                    <w:color w:val="000000" w:themeColor="text1"/>
                  </w:rPr>
                </m:ctrlPr>
              </m:dPr>
              <m:e>
                <m:r>
                  <w:rPr>
                    <w:rFonts w:ascii="Cambria Math" w:hAnsi="Cambria Math" w:cs="Arial"/>
                    <w:color w:val="000000" w:themeColor="text1"/>
                  </w:rPr>
                  <m:t>1-</m:t>
                </m:r>
                <m:f>
                  <m:fPr>
                    <m:ctrlPr>
                      <w:rPr>
                        <w:rFonts w:ascii="Cambria Math" w:hAnsi="Cambria Math" w:cs="Arial"/>
                        <w:i/>
                        <w:color w:val="000000" w:themeColor="text1"/>
                      </w:rPr>
                    </m:ctrlPr>
                  </m:fPr>
                  <m:num>
                    <m:r>
                      <w:rPr>
                        <w:rFonts w:ascii="Cambria Math" w:hAnsi="Cambria Math" w:cs="Arial"/>
                        <w:color w:val="000000" w:themeColor="text1"/>
                      </w:rPr>
                      <m:t>t</m:t>
                    </m:r>
                  </m:num>
                  <m:den>
                    <m:r>
                      <w:rPr>
                        <w:rFonts w:ascii="Cambria Math" w:hAnsi="Cambria Math" w:cs="Arial"/>
                        <w:color w:val="000000" w:themeColor="text1"/>
                      </w:rPr>
                      <m:t xml:space="preserve">Tmax </m:t>
                    </m:r>
                  </m:den>
                </m:f>
              </m:e>
            </m:d>
            <m:sSub>
              <m:sSubPr>
                <m:ctrlPr>
                  <w:rPr>
                    <w:rFonts w:ascii="Cambria Math" w:hAnsi="Cambria Math" w:cs="Arial"/>
                    <w:iCs/>
                    <w:color w:val="000000" w:themeColor="text1"/>
                  </w:rPr>
                </m:ctrlPr>
              </m:sSubPr>
              <m:e>
                <m:r>
                  <m:rPr>
                    <m:sty m:val="p"/>
                  </m:rPr>
                  <w:rPr>
                    <w:rFonts w:ascii="Cambria Math" w:hAnsi="Cambria Math" w:cs="Arial"/>
                    <w:color w:val="000000" w:themeColor="text1"/>
                  </w:rPr>
                  <m:t>RS</m:t>
                </m:r>
              </m:e>
              <m:sub>
                <m:r>
                  <w:rPr>
                    <w:rFonts w:ascii="Cambria Math" w:hAnsi="Cambria Math" w:cs="Arial"/>
                    <w:color w:val="000000" w:themeColor="text1"/>
                  </w:rPr>
                  <m:t>1</m:t>
                </m:r>
              </m:sub>
            </m:sSub>
          </m:e>
        </m:d>
        <m:r>
          <m:rPr>
            <m:sty m:val="p"/>
          </m:rPr>
          <w:rPr>
            <w:rFonts w:ascii="Cambria Math" w:hAnsi="Cambria Math" w:cs="Arial"/>
            <w:color w:val="000000" w:themeColor="text1"/>
          </w:rPr>
          <m:t>+</m:t>
        </m:r>
        <m:d>
          <m:dPr>
            <m:begChr m:val="["/>
            <m:endChr m:val="]"/>
            <m:ctrlPr>
              <w:rPr>
                <w:rFonts w:ascii="Cambria Math" w:hAnsi="Cambria Math" w:cs="Arial"/>
                <w:iCs/>
                <w:color w:val="000000" w:themeColor="text1"/>
              </w:rPr>
            </m:ctrlPr>
          </m:dPr>
          <m:e>
            <m:d>
              <m:dPr>
                <m:ctrlPr>
                  <w:rPr>
                    <w:rFonts w:ascii="Cambria Math" w:hAnsi="Cambria Math" w:cs="Arial"/>
                    <w:i/>
                    <w:iCs/>
                    <w:color w:val="000000" w:themeColor="text1"/>
                  </w:rPr>
                </m:ctrlPr>
              </m:dPr>
              <m:e>
                <m:f>
                  <m:fPr>
                    <m:ctrlPr>
                      <w:rPr>
                        <w:rFonts w:ascii="Cambria Math" w:hAnsi="Cambria Math" w:cs="Arial"/>
                        <w:i/>
                        <w:iCs/>
                        <w:color w:val="000000" w:themeColor="text1"/>
                      </w:rPr>
                    </m:ctrlPr>
                  </m:fPr>
                  <m:num>
                    <m:r>
                      <w:rPr>
                        <w:rFonts w:ascii="Cambria Math" w:hAnsi="Cambria Math" w:cs="Arial"/>
                        <w:color w:val="000000" w:themeColor="text1"/>
                      </w:rPr>
                      <m:t>t</m:t>
                    </m:r>
                  </m:num>
                  <m:den>
                    <m:r>
                      <w:rPr>
                        <w:rFonts w:ascii="Cambria Math" w:hAnsi="Cambria Math" w:cs="Arial"/>
                        <w:color w:val="000000" w:themeColor="text1"/>
                      </w:rPr>
                      <m:t>Tmax</m:t>
                    </m:r>
                  </m:den>
                </m:f>
              </m:e>
            </m:d>
            <m:sSub>
              <m:sSubPr>
                <m:ctrlPr>
                  <w:rPr>
                    <w:rFonts w:ascii="Cambria Math" w:hAnsi="Cambria Math" w:cs="Arial"/>
                    <w:iCs/>
                    <w:color w:val="000000" w:themeColor="text1"/>
                  </w:rPr>
                </m:ctrlPr>
              </m:sSubPr>
              <m:e>
                <m:r>
                  <m:rPr>
                    <m:sty m:val="p"/>
                  </m:rPr>
                  <w:rPr>
                    <w:rFonts w:ascii="Cambria Math" w:hAnsi="Cambria Math" w:cs="Arial"/>
                    <w:color w:val="000000" w:themeColor="text1"/>
                  </w:rPr>
                  <m:t>RS</m:t>
                </m:r>
              </m:e>
              <m:sub>
                <m:r>
                  <w:rPr>
                    <w:rFonts w:ascii="Cambria Math" w:hAnsi="Cambria Math" w:cs="Arial"/>
                    <w:color w:val="000000" w:themeColor="text1"/>
                  </w:rPr>
                  <m:t>2</m:t>
                </m:r>
              </m:sub>
            </m:sSub>
          </m:e>
        </m:d>
      </m:oMath>
      <w:r w:rsidRPr="00174FA5">
        <w:rPr>
          <w:rFonts w:ascii="Arial" w:hAnsi="Arial" w:cs="Arial"/>
          <w:iCs/>
          <w:color w:val="000000" w:themeColor="text1"/>
        </w:rPr>
        <w:t xml:space="preserve">               </w:t>
      </w:r>
      <w:r w:rsidR="005B28C1">
        <w:rPr>
          <w:rFonts w:ascii="Arial" w:hAnsi="Arial" w:cs="Arial"/>
          <w:iCs/>
          <w:color w:val="000000" w:themeColor="text1"/>
        </w:rPr>
        <w:tab/>
      </w:r>
      <w:r w:rsidR="005B28C1">
        <w:rPr>
          <w:rFonts w:ascii="Arial" w:hAnsi="Arial" w:cs="Arial"/>
          <w:iCs/>
          <w:color w:val="000000" w:themeColor="text1"/>
        </w:rPr>
        <w:tab/>
      </w:r>
      <w:r w:rsidRPr="00174FA5">
        <w:rPr>
          <w:rFonts w:ascii="Arial" w:hAnsi="Arial" w:cs="Arial"/>
          <w:iCs/>
          <w:color w:val="000000" w:themeColor="text1"/>
        </w:rPr>
        <w:t>(Equation 1)</w:t>
      </w:r>
    </w:p>
    <w:p w14:paraId="74CD75FA" w14:textId="77777777" w:rsidR="00A768BA" w:rsidRDefault="00A768BA" w:rsidP="00A768BA">
      <w:pPr>
        <w:spacing w:line="288" w:lineRule="auto"/>
        <w:rPr>
          <w:rFonts w:ascii="Arial" w:hAnsi="Arial" w:cs="Arial"/>
          <w:iCs/>
          <w:color w:val="000000" w:themeColor="text1"/>
        </w:rPr>
      </w:pPr>
    </w:p>
    <w:p w14:paraId="191531F5" w14:textId="05259E39" w:rsidR="00A768BA" w:rsidRDefault="00A768BA" w:rsidP="00A768BA">
      <w:pPr>
        <w:pStyle w:val="Normal1"/>
        <w:spacing w:after="120" w:line="288" w:lineRule="auto"/>
        <w:rPr>
          <w:rFonts w:ascii="Arial" w:hAnsi="Arial" w:cs="Arial"/>
        </w:rPr>
      </w:pPr>
      <w:r>
        <w:rPr>
          <w:rFonts w:ascii="Arial" w:hAnsi="Arial" w:cs="Arial"/>
          <w:iCs/>
          <w:color w:val="000000" w:themeColor="text1"/>
        </w:rPr>
        <w:t xml:space="preserve">where </w:t>
      </w:r>
      <m:oMath>
        <m:r>
          <w:rPr>
            <w:rFonts w:ascii="Cambria Math" w:hAnsi="Cambria Math" w:cs="Arial"/>
            <w:color w:val="000000" w:themeColor="text1"/>
          </w:rPr>
          <m:t>t</m:t>
        </m:r>
      </m:oMath>
      <w:r>
        <w:rPr>
          <w:rFonts w:ascii="Arial" w:hAnsi="Arial" w:cs="Arial"/>
          <w:iCs/>
          <w:color w:val="000000" w:themeColor="text1"/>
        </w:rPr>
        <w:t xml:space="preserve"> corresponds to the elapsed time (in hours) since the patient was discharged from ICU and has a maximum value of </w:t>
      </w:r>
      <m:oMath>
        <m:r>
          <w:rPr>
            <w:rFonts w:ascii="Cambria Math" w:hAnsi="Cambria Math" w:cs="Arial"/>
            <w:color w:val="000000" w:themeColor="text1"/>
          </w:rPr>
          <m:t>Tmax</m:t>
        </m:r>
      </m:oMath>
      <w:r>
        <w:rPr>
          <w:rFonts w:ascii="Arial" w:hAnsi="Arial" w:cs="Arial"/>
          <w:iCs/>
          <w:color w:val="000000" w:themeColor="text1"/>
        </w:rPr>
        <w:t xml:space="preserve"> hours. The time-dependent weighting function allows the contribution of RS</w:t>
      </w:r>
      <w:r w:rsidRPr="00B5626E">
        <w:rPr>
          <w:rFonts w:ascii="Arial" w:hAnsi="Arial" w:cs="Arial"/>
          <w:iCs/>
          <w:color w:val="000000" w:themeColor="text1"/>
          <w:vertAlign w:val="subscript"/>
        </w:rPr>
        <w:t>1</w:t>
      </w:r>
      <w:r>
        <w:rPr>
          <w:rFonts w:ascii="Arial" w:hAnsi="Arial" w:cs="Arial"/>
          <w:iCs/>
          <w:color w:val="000000" w:themeColor="text1"/>
        </w:rPr>
        <w:t xml:space="preserve"> to gradually decrease with time after discharge from the ICU. The patient’s risk of future adverse events becomes increasingly determined by the values of the vital-sign measurements taken on the acute ward (i.e., RS</w:t>
      </w:r>
      <w:r w:rsidRPr="009328DB">
        <w:rPr>
          <w:rFonts w:ascii="Arial" w:hAnsi="Arial" w:cs="Arial"/>
          <w:iCs/>
          <w:color w:val="000000" w:themeColor="text1"/>
          <w:vertAlign w:val="subscript"/>
        </w:rPr>
        <w:t>2</w:t>
      </w:r>
      <w:r>
        <w:rPr>
          <w:rFonts w:ascii="Arial" w:hAnsi="Arial" w:cs="Arial"/>
          <w:iCs/>
          <w:color w:val="000000" w:themeColor="text1"/>
        </w:rPr>
        <w:t xml:space="preserve">). The parameter </w:t>
      </w:r>
      <m:oMath>
        <m:r>
          <w:rPr>
            <w:rFonts w:ascii="Cambria Math" w:hAnsi="Cambria Math" w:cs="Arial"/>
            <w:color w:val="000000" w:themeColor="text1"/>
          </w:rPr>
          <m:t>β</m:t>
        </m:r>
      </m:oMath>
      <w:r>
        <w:rPr>
          <w:rFonts w:ascii="Arial" w:hAnsi="Arial" w:cs="Arial"/>
          <w:iCs/>
          <w:color w:val="000000" w:themeColor="text1"/>
        </w:rPr>
        <w:t xml:space="preserve"> is used to adjust the weight of RS</w:t>
      </w:r>
      <w:r w:rsidRPr="00A927C8">
        <w:rPr>
          <w:rFonts w:ascii="Arial" w:hAnsi="Arial" w:cs="Arial"/>
          <w:iCs/>
          <w:color w:val="000000" w:themeColor="text1"/>
          <w:vertAlign w:val="subscript"/>
        </w:rPr>
        <w:t>1</w:t>
      </w:r>
      <w:r>
        <w:rPr>
          <w:rFonts w:ascii="Arial" w:hAnsi="Arial" w:cs="Arial"/>
          <w:iCs/>
          <w:color w:val="000000" w:themeColor="text1"/>
        </w:rPr>
        <w:t xml:space="preserve"> with respect to the time since discharge from ICU, and the parameter </w:t>
      </w:r>
      <m:oMath>
        <m:r>
          <w:rPr>
            <w:rFonts w:ascii="Cambria Math" w:hAnsi="Cambria Math" w:cs="Arial"/>
            <w:color w:val="000000" w:themeColor="text1"/>
          </w:rPr>
          <m:t>Tmax</m:t>
        </m:r>
      </m:oMath>
      <w:r>
        <w:rPr>
          <w:rFonts w:ascii="Arial" w:hAnsi="Arial" w:cs="Arial"/>
          <w:iCs/>
          <w:color w:val="000000" w:themeColor="text1"/>
        </w:rPr>
        <w:t xml:space="preserve"> corresponds to the time at which RS</w:t>
      </w:r>
      <w:r w:rsidRPr="001E1F66">
        <w:rPr>
          <w:rFonts w:ascii="Arial" w:hAnsi="Arial" w:cs="Arial"/>
          <w:iCs/>
          <w:color w:val="000000" w:themeColor="text1"/>
          <w:vertAlign w:val="subscript"/>
        </w:rPr>
        <w:t>1</w:t>
      </w:r>
      <w:r>
        <w:rPr>
          <w:rFonts w:ascii="Arial" w:hAnsi="Arial" w:cs="Arial"/>
          <w:iCs/>
          <w:color w:val="000000" w:themeColor="text1"/>
        </w:rPr>
        <w:t xml:space="preserve"> no longer affects RSI; i.e., when </w:t>
      </w:r>
      <m:oMath>
        <m:r>
          <w:rPr>
            <w:rFonts w:ascii="Cambria Math" w:hAnsi="Cambria Math" w:cs="Arial"/>
            <w:color w:val="000000" w:themeColor="text1"/>
          </w:rPr>
          <m:t>t≥Tmax</m:t>
        </m:r>
      </m:oMath>
      <w:r>
        <w:rPr>
          <w:rFonts w:ascii="Arial" w:hAnsi="Arial" w:cs="Arial"/>
          <w:iCs/>
          <w:color w:val="000000" w:themeColor="text1"/>
        </w:rPr>
        <w:t xml:space="preserve">, then </w:t>
      </w:r>
      <m:oMath>
        <m:r>
          <m:rPr>
            <m:sty m:val="p"/>
          </m:rPr>
          <w:rPr>
            <w:rFonts w:ascii="Cambria Math" w:hAnsi="Cambria Math" w:cs="Arial"/>
            <w:color w:val="000000" w:themeColor="text1"/>
          </w:rPr>
          <m:t>RSI=</m:t>
        </m:r>
        <m:sSub>
          <m:sSubPr>
            <m:ctrlPr>
              <w:rPr>
                <w:rFonts w:ascii="Cambria Math" w:hAnsi="Cambria Math" w:cs="Arial"/>
                <w:iCs/>
                <w:color w:val="000000" w:themeColor="text1"/>
              </w:rPr>
            </m:ctrlPr>
          </m:sSubPr>
          <m:e>
            <m:r>
              <m:rPr>
                <m:sty m:val="p"/>
              </m:rPr>
              <w:rPr>
                <w:rFonts w:ascii="Cambria Math" w:hAnsi="Cambria Math" w:cs="Arial"/>
                <w:color w:val="000000" w:themeColor="text1"/>
              </w:rPr>
              <m:t>RS</m:t>
            </m:r>
          </m:e>
          <m:sub>
            <m:r>
              <w:rPr>
                <w:rFonts w:ascii="Cambria Math" w:hAnsi="Cambria Math" w:cs="Arial"/>
                <w:color w:val="000000" w:themeColor="text1"/>
              </w:rPr>
              <m:t>2</m:t>
            </m:r>
          </m:sub>
        </m:sSub>
      </m:oMath>
      <w:r>
        <w:rPr>
          <w:rFonts w:ascii="Arial" w:hAnsi="Arial" w:cs="Arial"/>
          <w:iCs/>
          <w:color w:val="000000" w:themeColor="text1"/>
        </w:rPr>
        <w:t xml:space="preserve">. The parameters </w:t>
      </w:r>
      <m:oMath>
        <m:r>
          <w:rPr>
            <w:rFonts w:ascii="Cambria Math" w:hAnsi="Cambria Math" w:cs="Arial"/>
            <w:color w:val="000000" w:themeColor="text1"/>
          </w:rPr>
          <m:t>β</m:t>
        </m:r>
      </m:oMath>
      <w:r>
        <w:rPr>
          <w:rFonts w:ascii="Arial" w:hAnsi="Arial" w:cs="Arial"/>
          <w:color w:val="000000" w:themeColor="text1"/>
        </w:rPr>
        <w:t xml:space="preserve"> and </w:t>
      </w:r>
      <m:oMath>
        <m:r>
          <w:rPr>
            <w:rFonts w:ascii="Cambria Math" w:hAnsi="Cambria Math" w:cs="Arial"/>
            <w:color w:val="000000" w:themeColor="text1"/>
          </w:rPr>
          <m:t>Tmax</m:t>
        </m:r>
      </m:oMath>
      <w:r>
        <w:rPr>
          <w:rFonts w:ascii="Arial" w:hAnsi="Arial" w:cs="Arial"/>
          <w:iCs/>
          <w:color w:val="000000" w:themeColor="text1"/>
        </w:rPr>
        <w:t xml:space="preserve"> were determined using a grid-search algorithm with 3-fold cross-validation, by defining a grid of possible values of </w:t>
      </w:r>
      <m:oMath>
        <m:r>
          <w:rPr>
            <w:rFonts w:ascii="Cambria Math" w:hAnsi="Cambria Math" w:cs="Arial"/>
            <w:color w:val="000000" w:themeColor="text1"/>
          </w:rPr>
          <m:t>β=</m:t>
        </m:r>
        <m:d>
          <m:dPr>
            <m:begChr m:val="["/>
            <m:endChr m:val="]"/>
            <m:ctrlPr>
              <w:rPr>
                <w:rFonts w:ascii="Cambria Math" w:hAnsi="Cambria Math" w:cs="Arial"/>
                <w:i/>
                <w:iCs/>
                <w:color w:val="000000" w:themeColor="text1"/>
              </w:rPr>
            </m:ctrlPr>
          </m:dPr>
          <m:e>
            <m:r>
              <w:rPr>
                <w:rFonts w:ascii="Cambria Math" w:hAnsi="Cambria Math" w:cs="Arial"/>
                <w:color w:val="000000" w:themeColor="text1"/>
              </w:rPr>
              <m:t>0.1,  0.2,  0.3,…, 200</m:t>
            </m:r>
          </m:e>
        </m:d>
      </m:oMath>
      <w:r>
        <w:rPr>
          <w:rFonts w:ascii="Arial" w:hAnsi="Arial" w:cs="Arial"/>
          <w:iCs/>
          <w:color w:val="000000" w:themeColor="text1"/>
        </w:rPr>
        <w:t xml:space="preserve"> and </w:t>
      </w:r>
      <m:oMath>
        <m:r>
          <w:rPr>
            <w:rFonts w:ascii="Cambria Math" w:hAnsi="Cambria Math" w:cs="Arial"/>
            <w:color w:val="000000" w:themeColor="text1"/>
          </w:rPr>
          <m:t>Tmax=[12, 24, 36, …, 336]</m:t>
        </m:r>
      </m:oMath>
      <w:r>
        <w:rPr>
          <w:rFonts w:ascii="Arial" w:hAnsi="Arial" w:cs="Arial"/>
          <w:iCs/>
          <w:color w:val="000000" w:themeColor="text1"/>
        </w:rPr>
        <w:t xml:space="preserve">. We selected the values of </w:t>
      </w:r>
      <m:oMath>
        <m:r>
          <w:rPr>
            <w:rFonts w:ascii="Cambria Math" w:hAnsi="Cambria Math" w:cs="Arial"/>
            <w:color w:val="000000" w:themeColor="text1"/>
          </w:rPr>
          <m:t>β</m:t>
        </m:r>
      </m:oMath>
      <w:r>
        <w:rPr>
          <w:rFonts w:ascii="Arial" w:hAnsi="Arial" w:cs="Arial"/>
          <w:color w:val="000000" w:themeColor="text1"/>
        </w:rPr>
        <w:t xml:space="preserve"> and </w:t>
      </w:r>
      <m:oMath>
        <m:r>
          <w:rPr>
            <w:rFonts w:ascii="Cambria Math" w:hAnsi="Cambria Math" w:cs="Arial"/>
            <w:color w:val="000000" w:themeColor="text1"/>
          </w:rPr>
          <m:t>Tmax</m:t>
        </m:r>
      </m:oMath>
      <w:r>
        <w:rPr>
          <w:rFonts w:ascii="Arial" w:hAnsi="Arial" w:cs="Arial"/>
          <w:iCs/>
          <w:color w:val="000000" w:themeColor="text1"/>
        </w:rPr>
        <w:t xml:space="preserve"> that corresponded to the highest mean </w:t>
      </w:r>
      <w:r w:rsidRPr="00633DBC">
        <w:rPr>
          <w:rFonts w:ascii="Arial" w:hAnsi="Arial" w:cs="Arial"/>
        </w:rPr>
        <w:t>area under the</w:t>
      </w:r>
      <w:r>
        <w:rPr>
          <w:rFonts w:ascii="Arial" w:hAnsi="Arial" w:cs="Arial"/>
        </w:rPr>
        <w:t xml:space="preserve"> curve of the</w:t>
      </w:r>
      <w:r w:rsidRPr="00633DBC">
        <w:rPr>
          <w:rFonts w:ascii="Arial" w:hAnsi="Arial" w:cs="Arial"/>
        </w:rPr>
        <w:t xml:space="preserve"> receiver operating</w:t>
      </w:r>
      <w:r>
        <w:rPr>
          <w:rFonts w:ascii="Arial" w:hAnsi="Arial" w:cs="Arial"/>
        </w:rPr>
        <w:t xml:space="preserve"> </w:t>
      </w:r>
      <w:r w:rsidRPr="00633DBC">
        <w:rPr>
          <w:rFonts w:ascii="Arial" w:hAnsi="Arial" w:cs="Arial"/>
        </w:rPr>
        <w:t>characteristic</w:t>
      </w:r>
      <w:r>
        <w:rPr>
          <w:rFonts w:ascii="Arial" w:hAnsi="Arial" w:cs="Arial"/>
        </w:rPr>
        <w:t xml:space="preserve"> (</w:t>
      </w:r>
      <w:r>
        <w:rPr>
          <w:rFonts w:ascii="Arial" w:hAnsi="Arial" w:cs="Arial"/>
          <w:iCs/>
          <w:color w:val="000000" w:themeColor="text1"/>
        </w:rPr>
        <w:t xml:space="preserve">AUROC) value across all cross-validation folds, using the compound outcome </w:t>
      </w:r>
      <w:r>
        <w:rPr>
          <w:rFonts w:ascii="Arial" w:hAnsi="Arial" w:cs="Arial"/>
        </w:rPr>
        <w:t>of in-hospital death or ICU re-admission within the next 24 hours of a vital-sign observation.</w:t>
      </w:r>
    </w:p>
    <w:p w14:paraId="0F33AFCD" w14:textId="744C02F7" w:rsidR="006F44B5" w:rsidRDefault="006F44B5" w:rsidP="00A768BA">
      <w:pPr>
        <w:pStyle w:val="Normal1"/>
        <w:spacing w:after="120" w:line="288" w:lineRule="auto"/>
        <w:rPr>
          <w:rFonts w:ascii="Arial" w:hAnsi="Arial" w:cs="Arial"/>
        </w:rPr>
      </w:pPr>
      <w:r>
        <w:rPr>
          <w:rFonts w:ascii="Arial" w:hAnsi="Arial" w:cs="Arial"/>
        </w:rPr>
        <w:t xml:space="preserve">During the development of RSI, values of </w:t>
      </w:r>
      <m:oMath>
        <m:r>
          <w:rPr>
            <w:rFonts w:ascii="Cambria Math" w:hAnsi="Cambria Math" w:cs="Arial"/>
          </w:rPr>
          <m:t>β=100.2</m:t>
        </m:r>
      </m:oMath>
      <w:r>
        <w:rPr>
          <w:rFonts w:ascii="Arial" w:hAnsi="Arial" w:cs="Arial"/>
        </w:rPr>
        <w:t xml:space="preserve"> and </w:t>
      </w:r>
      <m:oMath>
        <m:r>
          <w:rPr>
            <w:rFonts w:ascii="Cambria Math" w:hAnsi="Cambria Math" w:cs="Arial"/>
          </w:rPr>
          <m:t>Tmax=96</m:t>
        </m:r>
      </m:oMath>
      <w:r>
        <w:rPr>
          <w:rFonts w:ascii="Arial" w:hAnsi="Arial" w:cs="Arial"/>
        </w:rPr>
        <w:t xml:space="preserve"> hours, for the linear time-dependent weighting function (see Equation 1), were obtained and used to calculate the risk scoring index.</w:t>
      </w:r>
    </w:p>
    <w:p w14:paraId="0EEE7A9A" w14:textId="77777777" w:rsidR="00A768BA" w:rsidRDefault="00A768BA" w:rsidP="00617C68">
      <w:pPr>
        <w:pStyle w:val="Normal1"/>
        <w:spacing w:after="120" w:line="288" w:lineRule="auto"/>
        <w:rPr>
          <w:rFonts w:ascii="Arial" w:hAnsi="Arial" w:cs="Arial"/>
        </w:rPr>
      </w:pPr>
    </w:p>
    <w:p w14:paraId="64D83FE9" w14:textId="77777777" w:rsidR="00F54C87" w:rsidRDefault="00F54C87" w:rsidP="00F54C87">
      <w:pPr>
        <w:pStyle w:val="Heading2"/>
        <w:spacing w:after="120" w:line="288" w:lineRule="auto"/>
      </w:pPr>
      <w:r>
        <w:t>Model validation and statistical analysis</w:t>
      </w:r>
    </w:p>
    <w:p w14:paraId="5718A742" w14:textId="420D080E" w:rsidR="00F54C87" w:rsidRDefault="00F54C87" w:rsidP="00F54C87">
      <w:pPr>
        <w:spacing w:after="120" w:line="288" w:lineRule="auto"/>
        <w:rPr>
          <w:rFonts w:ascii="Arial" w:hAnsi="Arial" w:cs="Arial"/>
        </w:rPr>
      </w:pPr>
      <w:r>
        <w:rPr>
          <w:rFonts w:ascii="Arial" w:hAnsi="Arial" w:cs="Arial"/>
        </w:rPr>
        <w:t>To validate the first model, RS</w:t>
      </w:r>
      <w:r w:rsidRPr="00564134">
        <w:rPr>
          <w:rFonts w:ascii="Arial" w:hAnsi="Arial" w:cs="Arial"/>
          <w:vertAlign w:val="subscript"/>
        </w:rPr>
        <w:t>1</w:t>
      </w:r>
      <w:r>
        <w:rPr>
          <w:rFonts w:ascii="Arial" w:hAnsi="Arial" w:cs="Arial"/>
        </w:rPr>
        <w:t xml:space="preserve">, its discrimination and calibration were analysed. </w:t>
      </w:r>
      <w:r w:rsidRPr="00633DBC">
        <w:rPr>
          <w:rFonts w:ascii="Arial" w:hAnsi="Arial" w:cs="Arial"/>
        </w:rPr>
        <w:t xml:space="preserve">Discrimination is defined as the ability of the model to separate </w:t>
      </w:r>
      <w:r>
        <w:rPr>
          <w:rFonts w:ascii="Arial" w:hAnsi="Arial" w:cs="Arial"/>
        </w:rPr>
        <w:t>non-event patients</w:t>
      </w:r>
      <w:r w:rsidRPr="00633DBC">
        <w:rPr>
          <w:rFonts w:ascii="Arial" w:hAnsi="Arial" w:cs="Arial"/>
        </w:rPr>
        <w:t xml:space="preserve"> from </w:t>
      </w:r>
      <w:r>
        <w:rPr>
          <w:rFonts w:ascii="Arial" w:hAnsi="Arial" w:cs="Arial"/>
        </w:rPr>
        <w:t>patients who had an adverse event after ICU discharge, and</w:t>
      </w:r>
      <w:r w:rsidRPr="00633DBC">
        <w:rPr>
          <w:rFonts w:ascii="Arial" w:hAnsi="Arial" w:cs="Arial"/>
        </w:rPr>
        <w:t xml:space="preserve"> was assessed </w:t>
      </w:r>
      <w:r w:rsidRPr="00633DBC">
        <w:rPr>
          <w:rFonts w:ascii="Arial" w:hAnsi="Arial" w:cs="Arial"/>
        </w:rPr>
        <w:lastRenderedPageBreak/>
        <w:t xml:space="preserve">using the </w:t>
      </w:r>
      <w:r>
        <w:rPr>
          <w:rFonts w:ascii="Arial" w:hAnsi="Arial" w:cs="Arial"/>
        </w:rPr>
        <w:t>AUROC metric</w:t>
      </w:r>
      <w:r w:rsidRPr="00633DBC">
        <w:rPr>
          <w:rFonts w:ascii="Arial" w:hAnsi="Arial" w:cs="Arial"/>
        </w:rPr>
        <w:t>.</w:t>
      </w:r>
      <w:r>
        <w:rPr>
          <w:rFonts w:ascii="Arial" w:hAnsi="Arial" w:cs="Arial"/>
        </w:rPr>
        <w:t xml:space="preserve"> Calibration assesses the degree of correspondence between the estimated probability of occurrence of an adverse event and that actually observed. This was tested using a goodness of fit test, the Hosmer-</w:t>
      </w:r>
      <w:proofErr w:type="spellStart"/>
      <w:r>
        <w:rPr>
          <w:rFonts w:ascii="Arial" w:hAnsi="Arial" w:cs="Arial"/>
        </w:rPr>
        <w:t>Lemeshow</w:t>
      </w:r>
      <w:proofErr w:type="spellEnd"/>
      <w:r>
        <w:rPr>
          <w:rFonts w:ascii="Arial" w:hAnsi="Arial" w:cs="Arial"/>
        </w:rPr>
        <w:t xml:space="preserve"> “C” statistic</w:t>
      </w:r>
      <w:r w:rsidR="008E0FBF">
        <w:rPr>
          <w:rFonts w:ascii="Arial" w:hAnsi="Arial" w:cs="Arial"/>
        </w:rPr>
        <w:t xml:space="preserve"> </w:t>
      </w:r>
      <w:r w:rsidR="008E0FBF">
        <w:rPr>
          <w:rFonts w:ascii="Arial" w:hAnsi="Arial" w:cs="Arial"/>
        </w:rPr>
        <w:fldChar w:fldCharType="begin" w:fldLock="1"/>
      </w:r>
      <w:r w:rsidR="00896782">
        <w:rPr>
          <w:rFonts w:ascii="Arial" w:hAnsi="Arial" w:cs="Arial"/>
        </w:rPr>
        <w:instrText>ADDIN CSL_CITATION {"citationItems":[{"id":"ITEM-1","itemData":{"DOI":"10.1093/oxfordjournals.aje.a113284","ISSN":"00029262","PMID":"7055134","abstract":"Several statistics have recently been proposed for the purpose of assessing the goodness of fit of an estimated logistic regression model. These statistics are reviewed and compared to other, less formal, procedures in the context of applications in epidemiologic research. One statistic is recommended for use and its computation is illustrated using data from a recent study of mortality of intensive care unit patients. © 1982 by The Johns Hopkins University School of Hygiene and Public Health.","author":[{"dropping-particle":"","family":"Lemeshow","given":"Stanley","non-dropping-particle":"","parse-names":false,"suffix":""},{"dropping-particle":"","family":"Hosmer","given":"David W.","non-dropping-particle":"","parse-names":false,"suffix":""}],"container-title":"American Journal of Epidemiology","id":"ITEM-1","issued":{"date-parts":[["1982"]]},"title":"A review of goodness of fit statistics for use in the development of logistic regression models","type":"article-journal"},"uris":["http://www.mendeley.com/documents/?uuid=607e0b20-c2df-402f-a720-83d2fb53c4e8"]}],"mendeley":{"formattedCitation":"(8)","plainTextFormattedCitation":"(8)","previouslyFormattedCitation":"(8)"},"properties":{"noteIndex":0},"schema":"https://github.com/citation-style-language/schema/raw/master/csl-citation.json"}</w:instrText>
      </w:r>
      <w:r w:rsidR="008E0FBF">
        <w:rPr>
          <w:rFonts w:ascii="Arial" w:hAnsi="Arial" w:cs="Arial"/>
        </w:rPr>
        <w:fldChar w:fldCharType="separate"/>
      </w:r>
      <w:r w:rsidR="00C53C57" w:rsidRPr="00C53C57">
        <w:rPr>
          <w:rFonts w:ascii="Arial" w:hAnsi="Arial" w:cs="Arial"/>
          <w:noProof/>
        </w:rPr>
        <w:t>(8)</w:t>
      </w:r>
      <w:r w:rsidR="008E0FBF">
        <w:rPr>
          <w:rFonts w:ascii="Arial" w:hAnsi="Arial" w:cs="Arial"/>
        </w:rPr>
        <w:fldChar w:fldCharType="end"/>
      </w:r>
      <w:r w:rsidR="008E0FBF">
        <w:rPr>
          <w:rFonts w:ascii="Arial" w:hAnsi="Arial" w:cs="Arial"/>
        </w:rPr>
        <w:t>.</w:t>
      </w:r>
      <w:r>
        <w:rPr>
          <w:rFonts w:ascii="Arial" w:hAnsi="Arial" w:cs="Arial"/>
        </w:rPr>
        <w:t xml:space="preserve"> When the predicted probability of adverse events of the prognostic model differs significantly from the observed pattern, the calibration ability of the model is deemed to be poor. As the Hosmer-</w:t>
      </w:r>
      <w:proofErr w:type="spellStart"/>
      <w:r>
        <w:rPr>
          <w:rFonts w:ascii="Arial" w:hAnsi="Arial" w:cs="Arial"/>
        </w:rPr>
        <w:t>Lemeshow</w:t>
      </w:r>
      <w:proofErr w:type="spellEnd"/>
      <w:r>
        <w:rPr>
          <w:rFonts w:ascii="Arial" w:hAnsi="Arial" w:cs="Arial"/>
        </w:rPr>
        <w:t xml:space="preserve"> test does not measure the magnitude of miscalibration and is sensitive to sample size</w:t>
      </w:r>
      <w:r w:rsidR="008E0FBF">
        <w:rPr>
          <w:rFonts w:ascii="Arial" w:hAnsi="Arial" w:cs="Arial"/>
        </w:rPr>
        <w:t xml:space="preserve"> </w:t>
      </w:r>
      <w:r w:rsidR="008E0FBF">
        <w:rPr>
          <w:rFonts w:ascii="Arial" w:hAnsi="Arial" w:cs="Arial"/>
        </w:rPr>
        <w:fldChar w:fldCharType="begin" w:fldLock="1"/>
      </w:r>
      <w:r w:rsidR="00896782">
        <w:rPr>
          <w:rFonts w:ascii="Arial" w:hAnsi="Arial" w:cs="Arial"/>
        </w:rPr>
        <w:instrText>ADDIN CSL_CITATION {"citationItems":[{"id":"ITEM-1","itemData":{"DOI":"10.1097/01.CCM.0000275267.64078.B0","ISSN":"0090-3493","abstract":"OBJECTIVE: To examine the Hosmer-Lemeshow test's sensitivity in evaluating the calibration of models predicting hospital mortality in large critical care populations. DESIGN: Simulation study. SETTING: Intensive care unit databases used for predictive modeling. PATIENTS: Data sets were simulated representing the approximate number of patients used in earlier versions of critical care predictive models (n = 5,000 and 10,000) and more recent predictive models (n = 50,000). Each patient had a hospital mortality probability generated as a function of 23 risk variables. INTERVENTIONS: None. MEASUREMENTS AND MAIN RESULTS: Data sets of 5,000, 10,000, and 50,000 patients were replicated 1,000 times. Logistic regression models were evaluated for each simulated data set. This process was initially carried out under conditions of perfect fit (observed mortality = predicted mortality; standardized mortality ratio = 1.000) and repeated with an observed mortality that differed slightly (0.4%) from predicted mortality. Under conditions of perfect fit, the Hosmer-Lemeshow test was not influenced by the number of patients in the data set. In situations where there was a slight deviation from perfect fit, the Hosmer-Lemeshow test was sensitive to sample size. For populations of 5,000 patients, 10% of the Hosmer-Lemeshow tests were significant at p &lt; .05, whereas for 10,000 patients 34% of the Hosmer-Lemeshow tests were significant at p &lt; .05. When the number of patients matched contemporary studies (i.e., 50,000 patients), the Hosmer-Lemeshow test was statistically significant in 100% of the models. CONCLUSIONS: Caution should be used in interpreting the calibration of predictive models developed using a smaller data set when applied to larger numbers of patients. A significant Hosmer-Lemeshow test does not necessarily mean that a predictive model is not useful or suspect. While decisions concerning a mortality model's suitability should include the Hosmer-Lemeshow test, additional information needs to be taken into consideration. This includes the overall number of patients, the observed and predicted probabilities within each decile, and adjunct measures of model calibration. © 2007 Lippincott Williams &amp; Wilkins, Inc.","author":[{"dropping-particle":"","family":"Kramer","given":"Andrew A.","non-dropping-particle":"","parse-names":false,"suffix":""},{"dropping-particle":"","family":"Zimmerman","given":"Jack E.","non-dropping-particle":"","parse-names":false,"suffix":""}],"container-title":"Critical Care Medicine","id":"ITEM-1","issue":"9","issued":{"date-parts":[["2007","9"]]},"page":"2052-2056","title":"Assessing the calibration of mortality benchmarks in critical care: The Hosmer-Lemeshow test revisited*","type":"article-journal","volume":"35"},"uris":["http://www.mendeley.com/documents/?uuid=c05a667c-6492-458a-93a9-eba5f57b4682"]}],"mendeley":{"formattedCitation":"(9)","plainTextFormattedCitation":"(9)","previouslyFormattedCitation":"(9)"},"properties":{"noteIndex":0},"schema":"https://github.com/citation-style-language/schema/raw/master/csl-citation.json"}</w:instrText>
      </w:r>
      <w:r w:rsidR="008E0FBF">
        <w:rPr>
          <w:rFonts w:ascii="Arial" w:hAnsi="Arial" w:cs="Arial"/>
        </w:rPr>
        <w:fldChar w:fldCharType="separate"/>
      </w:r>
      <w:r w:rsidR="00C53C57" w:rsidRPr="00C53C57">
        <w:rPr>
          <w:rFonts w:ascii="Arial" w:hAnsi="Arial" w:cs="Arial"/>
          <w:noProof/>
        </w:rPr>
        <w:t>(9)</w:t>
      </w:r>
      <w:r w:rsidR="008E0FBF">
        <w:rPr>
          <w:rFonts w:ascii="Arial" w:hAnsi="Arial" w:cs="Arial"/>
        </w:rPr>
        <w:fldChar w:fldCharType="end"/>
      </w:r>
      <w:r w:rsidR="008E0FBF">
        <w:rPr>
          <w:rFonts w:ascii="Arial" w:hAnsi="Arial" w:cs="Arial"/>
        </w:rPr>
        <w:t>,</w:t>
      </w:r>
      <w:r>
        <w:rPr>
          <w:rFonts w:ascii="Arial" w:hAnsi="Arial" w:cs="Arial"/>
        </w:rPr>
        <w:t xml:space="preserve"> calibration was also assessed with the Brier score and Cox’s calibration regression. The latter assesses the degree of miscalibration by fitting a logistic regression of observed survival to the predicted log-odds of survival from the risk model</w:t>
      </w:r>
      <w:r w:rsidR="008E0FBF">
        <w:rPr>
          <w:rFonts w:ascii="Arial" w:hAnsi="Arial" w:cs="Arial"/>
        </w:rPr>
        <w:t xml:space="preserve"> </w:t>
      </w:r>
      <w:r w:rsidR="008E0FBF">
        <w:rPr>
          <w:rFonts w:ascii="Arial" w:hAnsi="Arial" w:cs="Arial"/>
        </w:rPr>
        <w:fldChar w:fldCharType="begin" w:fldLock="1"/>
      </w:r>
      <w:r w:rsidR="00896782">
        <w:rPr>
          <w:rFonts w:ascii="Arial" w:hAnsi="Arial" w:cs="Arial"/>
        </w:rPr>
        <w:instrText>ADDIN CSL_CITATION {"citationItems":[{"id":"ITEM-1","itemData":{"DOI":"10.1093/biomet/45.3-4.562","ISSN":"0006-3444","abstract":"The major ampullate fiber of both Nephila clavipes and Argiope aurantia is composed of two different proteins, MaSp1 and MaSp2. Each of these proteins has a highly conserved pattern of silk-associated amino acid motifs. The GPGXX motif is the only source of proline and is unique to MaSp2. On the basis of the percent of proline, Nephila clavipes major ampullate silk was calculated to consist of 19% MaSp2 and 81% MaSp1, while Argiope aurantia was calculated to have a significantly higher MaSp2 content of 59% with MaSp1 comprising the remaining 41 %. To investigate the functional implications of the difference in protein composition, major ampullate silk fibers from Nephila clavipes and Argiope aurantia were mechanically tested and compared. Stress-strain curves produced from polynomial regression show that the two significant differences between major ampullate silk fibers from Nephila clavipes and Argiope aurantia are the average peak load stress and Young's modulus, with Argiope higher for both.","author":[{"dropping-particle":"","family":"Cox","given":"D. R.","non-dropping-particle":"","parse-names":false,"suffix":""}],"container-title":"Biometrika","id":"ITEM-1","issue":"3-4","issued":{"date-parts":[["1958"]]},"page":"562-565","title":"Two further applications of a model for binary regression","type":"article-journal","volume":"45"},"uris":["http://www.mendeley.com/documents/?uuid=c7b85dc9-7136-46cb-a3dd-c9eab631988e"]}],"mendeley":{"formattedCitation":"(10)","plainTextFormattedCitation":"(10)","previouslyFormattedCitation":"(10)"},"properties":{"noteIndex":0},"schema":"https://github.com/citation-style-language/schema/raw/master/csl-citation.json"}</w:instrText>
      </w:r>
      <w:r w:rsidR="008E0FBF">
        <w:rPr>
          <w:rFonts w:ascii="Arial" w:hAnsi="Arial" w:cs="Arial"/>
        </w:rPr>
        <w:fldChar w:fldCharType="separate"/>
      </w:r>
      <w:r w:rsidR="00C53C57" w:rsidRPr="00C53C57">
        <w:rPr>
          <w:rFonts w:ascii="Arial" w:hAnsi="Arial" w:cs="Arial"/>
          <w:noProof/>
        </w:rPr>
        <w:t>(10)</w:t>
      </w:r>
      <w:r w:rsidR="008E0FBF">
        <w:rPr>
          <w:rFonts w:ascii="Arial" w:hAnsi="Arial" w:cs="Arial"/>
        </w:rPr>
        <w:fldChar w:fldCharType="end"/>
      </w:r>
      <w:r w:rsidR="008E0FBF">
        <w:rPr>
          <w:rFonts w:ascii="Arial" w:hAnsi="Arial" w:cs="Arial"/>
        </w:rPr>
        <w:t>.</w:t>
      </w:r>
      <w:r>
        <w:rPr>
          <w:rFonts w:ascii="Arial" w:hAnsi="Arial" w:cs="Arial"/>
        </w:rPr>
        <w:t xml:space="preserve"> The performance of the first model was examined both for the compound outcome and each adverse event (in-hospital death and ICU re-admission) individually. The ability of the first model to predict future adverse events at increasing intervals from ICU discharge was also examined by calculating the AUROC for future events by day after discharge (up to 120 days). </w:t>
      </w:r>
    </w:p>
    <w:p w14:paraId="67D5721B" w14:textId="0209BA1F" w:rsidR="00F54C87" w:rsidRDefault="00F54C87" w:rsidP="00F54C87">
      <w:pPr>
        <w:spacing w:after="120" w:line="288" w:lineRule="auto"/>
        <w:rPr>
          <w:rFonts w:ascii="Arial" w:hAnsi="Arial" w:cs="Arial"/>
        </w:rPr>
      </w:pPr>
      <w:r>
        <w:rPr>
          <w:rFonts w:ascii="Arial" w:hAnsi="Arial" w:cs="Arial"/>
        </w:rPr>
        <w:t xml:space="preserve">The final model, RSI, was validated using the AUROC for the derived outcome of in-hospital death or ICU re-admission within the next </w:t>
      </w:r>
      <w:r w:rsidRPr="005A4743">
        <w:rPr>
          <w:rFonts w:ascii="Arial" w:hAnsi="Arial" w:cs="Arial"/>
          <w:i/>
          <w:iCs/>
        </w:rPr>
        <w:t>N</w:t>
      </w:r>
      <w:r>
        <w:rPr>
          <w:rFonts w:ascii="Arial" w:hAnsi="Arial" w:cs="Arial"/>
        </w:rPr>
        <w:t xml:space="preserve"> hours of a vital-sign observation/measurement performed after ICU discharge, in line with previous studies for evaluating EWS systems</w:t>
      </w:r>
      <w:r w:rsidR="008E0FBF">
        <w:rPr>
          <w:rFonts w:ascii="Arial" w:hAnsi="Arial" w:cs="Arial"/>
        </w:rPr>
        <w:t xml:space="preserve"> </w:t>
      </w:r>
      <w:r w:rsidR="008E0FBF">
        <w:rPr>
          <w:rFonts w:ascii="Arial" w:hAnsi="Arial" w:cs="Arial"/>
        </w:rPr>
        <w:fldChar w:fldCharType="begin" w:fldLock="1"/>
      </w:r>
      <w:r w:rsidR="00896782">
        <w:rPr>
          <w:rFonts w:ascii="Arial" w:hAnsi="Arial" w:cs="Arial"/>
        </w:rPr>
        <w:instrText>ADDIN CSL_CITATION {"citationItems":[{"id":"ITEM-1","itemData":{"DOI":"10.1016/j.resuscitation.2010.04.014","ISBN":"1873-1570","ISSN":"03009572","PMID":"20637974","abstract":"Aim of study: To develop a validated, paper-based, aggregate weighted track and trigger system (AWTTS) that could serve as a template for a national early warning score (EWS) for the detection of patient deterioration. Materials and methods: Using existing knowledge of the relationship between physiological data and adverse clinical outcomes, a thorough review of the literature surrounding EWS and physiology, and a previous detailed analysis of published EWSs, we developed a new paper-based EWS - VitalPAC™ EWS (ViEWS). We applied ViEWS to a large vital signs database (n= 198,755 observation sets) collected from 35,585 consecutive, completed acute medical admissions, and also evaluated the comparative performance of 33 other AWTTSs, for a range of outcomes using the area under the receiver-operating characteristics (AUROC) curve. Results: The AUROC (95% CI) for ViEWS using in-hospital mortality with 24. h of the observation set was 0.888 (0.880-0.895). The AUROCs (95% CI) for the 33 other AWTTSs tested using the same outcome ranged from 0.803 (0.792-0.815) to 0.850 (0.841-0.859). ViEWS performed better than the 33 other AWTTSs for all outcomes tested. Conclusions: We have developed a simple AWTTS - ViEWS - designed for paper-based application and demonstrated that its performance for predicting mortality (within a range of timescales) is superior to all other published AWTTSs that we tested. We have also developed a tool to provide a relative measure of the number of \" triggers\" that would be generated at different values of EWS and permits the comparison of the workload generated by different AWTTSs. © 2010 Elsevier Ireland Ltd.","author":[{"dropping-particle":"","family":"Prytherch","given":"David R.","non-dropping-particle":"","parse-names":false,"suffix":""},{"dropping-particle":"","family":"Smith","given":"Gary B.","non-dropping-particle":"","parse-names":false,"suffix":""},{"dropping-particle":"","family":"Schmidt","given":"Paul E.","non-dropping-particle":"","parse-names":false,"suffix":""},{"dropping-particle":"","family":"Featherstone","given":"Peter I.","non-dropping-particle":"","parse-names":false,"suffix":""}],"container-title":"Resuscitation","id":"ITEM-1","issue":"8","issued":{"date-parts":[["2010"]]},"page":"932-937","title":"ViEWS-Towards a national early warning score for detecting adult inpatient deterioration","type":"article-journal","volume":"81"},"uris":["http://www.mendeley.com/documents/?uuid=3cfb337e-425d-3b9b-b2db-d5e69ee7eb11"]},{"id":"ITEM-2","itemData":{"DOI":"10.1016/j.resuscitation.2013.12.011","ISBN":"1873-1570 (Electronic)\\r0300-9572 (Linking)","ISSN":"03009572","PMID":"24361673","abstract":"Aim of study: : To compare the performance of a human-generated, trial and error-optimised early warning score (EWS), i.e., National Early Warning Score (NEWS), with one generated entirely algorithmically using Decision Tree (DT) analysis. Materials and methods: We used DT analysis to construct a decision-tree EWS (DTEWS) from a database of 198,755 vital signs observation sets collected from 35,585 consecutive, completed acute medical admissions. We evaluated the ability of DTEWS to discriminate patients at risk of cardiac arrest, unanticipated intensive care unit admission or death, each within 24. h of a given vital signs observation. We compared the performance of DTEWS and NEWS using the area under the receiver-operating characteristic (AUROC) curve. Results: The structures of DTEWS and NEWS were very similar. The AUROC (95% CI) for DTEWS for cardiac arrest, unanticipated ICU admission, death, and any of the outcomes, all within 24. h, were 0.708 (0.669-0.747), 0.862 (0.852-0.872), 0.899 (0.892-0.907), and 0.877 (0.870-0.883), respectively. Values for NEWS were 0.722 (0.685-0.759) [cardiac arrest], 0.857 (0.847-0.868) [unanticipated ICU admission}, 0.894 (0.887-0.902) [death], and 0.873 (0.866-0.879) [any outcome]. Conclusions: The decision-tree technique independently validates the composition and weightings of NEWS. The DT approach quickly provided an almost identical EWS to NEWS, although one that admittedly would benefit from fine-tuning using clinical knowledge. We believe that DT analysis could be used to quickly develop candidate models for disease-specific EWSs, which may be required in future. © 2013 Elsevier Ireland Ltd.","author":[{"dropping-particle":"","family":"Badriyah","given":"Tessy","non-dropping-particle":"","parse-names":false,"suffix":""},{"dropping-particle":"","family":"Briggs","given":"James S.","non-dropping-particle":"","parse-names":false,"suffix":""},{"dropping-particle":"","family":"Meredith","given":"Paul","non-dropping-particle":"","parse-names":false,"suffix":""},{"dropping-particle":"","family":"Jarvis","given":"Stuart W.","non-dropping-particle":"","parse-names":false,"suffix":""},{"dropping-particle":"","family":"Schmidt","given":"Paul E.","non-dropping-particle":"","parse-names":false,"suffix":""},{"dropping-particle":"","family":"Featherstone","given":"Peter I.","non-dropping-particle":"","parse-names":false,"suffix":""},{"dropping-particle":"","family":"Prytherch","given":"David R.","non-dropping-particle":"","parse-names":false,"suffix":""},{"dropping-particle":"","family":"Smith","given":"Gary B.","non-dropping-particle":"","parse-names":false,"suffix":""}],"container-title":"Resuscitation","id":"ITEM-2","issue":"3","issued":{"date-parts":[["2014"]]},"page":"418-423","title":"Decision-tree early warning score (DTEWS) validates the design of the National Early Warning Score (NEWS)","type":"article-journal","volume":"85"},"uris":["http://www.mendeley.com/documents/?uuid=d41f604a-15fc-471a-8cc0-ae379ba6d385"]}],"mendeley":{"formattedCitation":"(11, 12)","plainTextFormattedCitation":"(11, 12)","previouslyFormattedCitation":"(11, 12)"},"properties":{"noteIndex":0},"schema":"https://github.com/citation-style-language/schema/raw/master/csl-citation.json"}</w:instrText>
      </w:r>
      <w:r w:rsidR="008E0FBF">
        <w:rPr>
          <w:rFonts w:ascii="Arial" w:hAnsi="Arial" w:cs="Arial"/>
        </w:rPr>
        <w:fldChar w:fldCharType="separate"/>
      </w:r>
      <w:r w:rsidR="00C53C57" w:rsidRPr="00C53C57">
        <w:rPr>
          <w:rFonts w:ascii="Arial" w:hAnsi="Arial" w:cs="Arial"/>
          <w:noProof/>
        </w:rPr>
        <w:t>(11, 12)</w:t>
      </w:r>
      <w:r w:rsidR="008E0FBF">
        <w:rPr>
          <w:rFonts w:ascii="Arial" w:hAnsi="Arial" w:cs="Arial"/>
        </w:rPr>
        <w:fldChar w:fldCharType="end"/>
      </w:r>
      <w:r w:rsidR="008E0FBF">
        <w:rPr>
          <w:rFonts w:ascii="Arial" w:hAnsi="Arial" w:cs="Arial"/>
        </w:rPr>
        <w:t>.</w:t>
      </w:r>
      <w:r>
        <w:rPr>
          <w:rFonts w:ascii="Arial" w:hAnsi="Arial" w:cs="Arial"/>
        </w:rPr>
        <w:t xml:space="preserve"> We evaluated the model for different values of </w:t>
      </w:r>
      <w:r w:rsidRPr="005A4743">
        <w:rPr>
          <w:rFonts w:ascii="Arial" w:hAnsi="Arial" w:cs="Arial"/>
          <w:i/>
          <w:iCs/>
        </w:rPr>
        <w:t>N</w:t>
      </w:r>
      <w:r>
        <w:rPr>
          <w:rFonts w:ascii="Arial" w:hAnsi="Arial" w:cs="Arial"/>
        </w:rPr>
        <w:t xml:space="preserve">, with </w:t>
      </w:r>
      <m:oMath>
        <m:r>
          <w:rPr>
            <w:rFonts w:ascii="Cambria Math" w:hAnsi="Cambria Math" w:cs="Arial"/>
          </w:rPr>
          <m:t>N=</m:t>
        </m:r>
        <m:d>
          <m:dPr>
            <m:begChr m:val="["/>
            <m:endChr m:val="]"/>
            <m:ctrlPr>
              <w:rPr>
                <w:rFonts w:ascii="Cambria Math" w:hAnsi="Cambria Math" w:cs="Arial"/>
                <w:i/>
              </w:rPr>
            </m:ctrlPr>
          </m:dPr>
          <m:e>
            <m:r>
              <w:rPr>
                <w:rFonts w:ascii="Cambria Math" w:hAnsi="Cambria Math" w:cs="Arial"/>
              </w:rPr>
              <m:t>12, 24, 36, 48, 72</m:t>
            </m:r>
          </m:e>
        </m:d>
      </m:oMath>
      <w:r>
        <w:rPr>
          <w:rFonts w:ascii="Arial" w:hAnsi="Arial" w:cs="Arial"/>
        </w:rPr>
        <w:t xml:space="preserve"> hours. We note that in this case the AUROC represents how well the scoring system RSI discriminates between observation sets followed by an adverse event and those with no subsequent adverse outcome within the next </w:t>
      </w:r>
      <w:r w:rsidRPr="005A4743">
        <w:rPr>
          <w:rFonts w:ascii="Arial" w:hAnsi="Arial" w:cs="Arial"/>
          <w:i/>
          <w:iCs/>
        </w:rPr>
        <w:t>N</w:t>
      </w:r>
      <w:r>
        <w:rPr>
          <w:rFonts w:ascii="Arial" w:hAnsi="Arial" w:cs="Arial"/>
        </w:rPr>
        <w:t xml:space="preserve"> hours. Therefore, the unit of analysis is a vital-sign set rather than a patient-admission, as performed for the validation of the first model. </w:t>
      </w:r>
    </w:p>
    <w:p w14:paraId="02875B91" w14:textId="77777777" w:rsidR="00F54C87" w:rsidRDefault="00F54C87" w:rsidP="00F54C87">
      <w:pPr>
        <w:spacing w:after="120" w:line="288" w:lineRule="auto"/>
        <w:rPr>
          <w:rFonts w:ascii="Arial" w:hAnsi="Arial" w:cs="Arial"/>
        </w:rPr>
      </w:pPr>
      <w:r>
        <w:rPr>
          <w:rFonts w:ascii="Arial" w:hAnsi="Arial" w:cs="Arial"/>
        </w:rPr>
        <w:t>We also considered each individual adverse event separately. To further understand the feasibility of implementation of the risk scoring systems in this setting, the burden of observation sets “triggered” for every correctly identified observation followed by an adverse event within 24 hours by the risk scoring system was also evaluated.</w:t>
      </w:r>
    </w:p>
    <w:p w14:paraId="1DD0706B" w14:textId="56774631" w:rsidR="00F54C87" w:rsidRDefault="00F54C87" w:rsidP="00F54C87">
      <w:pPr>
        <w:spacing w:after="120" w:line="288" w:lineRule="auto"/>
        <w:rPr>
          <w:rFonts w:ascii="Arial" w:hAnsi="Arial" w:cs="Arial"/>
        </w:rPr>
      </w:pPr>
      <w:r>
        <w:rPr>
          <w:rFonts w:ascii="Arial" w:hAnsi="Arial" w:cs="Arial"/>
        </w:rPr>
        <w:t>We report the cross-validation results using the development dataset. This gives an estimate of how our models perform on a random set of samples from the OUH Trust that were not used for developing the model. We also report the external validation results using data from the RBH Trust. Confidence intervals were estimated using bootstrap confidence intervals via percentiles</w:t>
      </w:r>
      <w:r w:rsidR="008E0FBF">
        <w:rPr>
          <w:rFonts w:ascii="Arial" w:hAnsi="Arial" w:cs="Arial"/>
        </w:rPr>
        <w:t xml:space="preserve"> </w:t>
      </w:r>
      <w:r>
        <w:rPr>
          <w:rFonts w:ascii="Arial" w:hAnsi="Arial" w:cs="Arial"/>
        </w:rPr>
        <w:t>with 500 samples</w:t>
      </w:r>
      <w:r w:rsidR="008E0FBF">
        <w:rPr>
          <w:rFonts w:ascii="Arial" w:hAnsi="Arial" w:cs="Arial"/>
        </w:rPr>
        <w:t xml:space="preserve"> </w:t>
      </w:r>
      <w:r w:rsidR="008E0FBF">
        <w:rPr>
          <w:rFonts w:ascii="Arial" w:hAnsi="Arial" w:cs="Arial"/>
        </w:rPr>
        <w:fldChar w:fldCharType="begin" w:fldLock="1"/>
      </w:r>
      <w:r w:rsidR="00896782">
        <w:rPr>
          <w:rFonts w:ascii="Arial" w:hAnsi="Arial" w:cs="Arial"/>
        </w:rPr>
        <w:instrText>ADDIN CSL_CITATION {"citationItems":[{"id":"ITEM-1","itemData":{"DOI":"10.1214/ss/1032280214","ISSN":"08834237","abstract":"This article surveys bootstrap methods for producing good approximate confidence intervals. The goal is to improve by an order of magnitude upon the accuracy of the standard intervals θ^±z(α)σ^, in a way that allows routine application even to very complicated problems. Both theory and examples are used to show how this is done. The first seven sections provide a heuristic overview of four bootstrap confidence interval procedures: BCα, bootstrap-t, ABC and calibration. Sections 8 and 9 describe the theory behind these methods, and their close connection with the likelihood-based confidence interval theory developed by Barndorff-Nielsen, Cox and Reid and others. © 1996 Applied Probability Trust.","author":[{"dropping-particle":"","family":"DiCiccio","given":"Thomas J.","non-dropping-particle":"","parse-names":false,"suffix":""},{"dropping-particle":"","family":"Efron","given":"Bradley","non-dropping-particle":"","parse-names":false,"suffix":""}],"container-title":"Statistical Science","id":"ITEM-1","issued":{"date-parts":[["1996"]]},"title":"Bootstrap confidence intervals","type":"article-journal"},"uris":["http://www.mendeley.com/documents/?uuid=654e57af-22ab-43a1-bbf5-a747fbdc9be6"]}],"mendeley":{"formattedCitation":"(13)","plainTextFormattedCitation":"(13)","previouslyFormattedCitation":"(13)"},"properties":{"noteIndex":0},"schema":"https://github.com/citation-style-language/schema/raw/master/csl-citation.json"}</w:instrText>
      </w:r>
      <w:r w:rsidR="008E0FBF">
        <w:rPr>
          <w:rFonts w:ascii="Arial" w:hAnsi="Arial" w:cs="Arial"/>
        </w:rPr>
        <w:fldChar w:fldCharType="separate"/>
      </w:r>
      <w:r w:rsidR="00C53C57" w:rsidRPr="00C53C57">
        <w:rPr>
          <w:rFonts w:ascii="Arial" w:hAnsi="Arial" w:cs="Arial"/>
          <w:noProof/>
        </w:rPr>
        <w:t>(13)</w:t>
      </w:r>
      <w:r w:rsidR="008E0FBF">
        <w:rPr>
          <w:rFonts w:ascii="Arial" w:hAnsi="Arial" w:cs="Arial"/>
        </w:rPr>
        <w:fldChar w:fldCharType="end"/>
      </w:r>
      <w:r w:rsidR="00C308D6">
        <w:rPr>
          <w:rFonts w:ascii="Arial" w:hAnsi="Arial" w:cs="Arial"/>
        </w:rPr>
        <w:t>.</w:t>
      </w:r>
      <w:r>
        <w:rPr>
          <w:rFonts w:ascii="Arial" w:hAnsi="Arial" w:cs="Arial"/>
        </w:rPr>
        <w:t xml:space="preserve"> </w:t>
      </w:r>
    </w:p>
    <w:p w14:paraId="306A7D16" w14:textId="004D75F6" w:rsidR="00CB7493" w:rsidRDefault="00CB7493" w:rsidP="00F54C87">
      <w:pPr>
        <w:spacing w:after="120" w:line="288" w:lineRule="auto"/>
        <w:rPr>
          <w:rFonts w:ascii="Arial" w:hAnsi="Arial" w:cs="Arial"/>
        </w:rPr>
      </w:pPr>
    </w:p>
    <w:p w14:paraId="36B2FDFD" w14:textId="6C0E0816" w:rsidR="00CB7493" w:rsidRDefault="00CB7493" w:rsidP="00CB7493">
      <w:pPr>
        <w:pStyle w:val="Heading2"/>
      </w:pPr>
      <w:r>
        <w:t>References</w:t>
      </w:r>
    </w:p>
    <w:p w14:paraId="3DA095D2" w14:textId="4E4CD1CC" w:rsidR="00896782" w:rsidRPr="00896782" w:rsidRDefault="00CB7493" w:rsidP="00896782">
      <w:pPr>
        <w:widowControl w:val="0"/>
        <w:autoSpaceDE w:val="0"/>
        <w:autoSpaceDN w:val="0"/>
        <w:adjustRightInd w:val="0"/>
        <w:spacing w:after="120"/>
        <w:ind w:left="640" w:hanging="640"/>
        <w:rPr>
          <w:rFonts w:ascii="Arial"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896782" w:rsidRPr="00896782">
        <w:rPr>
          <w:rFonts w:ascii="Arial" w:hAnsi="Arial" w:cs="Arial"/>
          <w:noProof/>
        </w:rPr>
        <w:t xml:space="preserve">1. </w:t>
      </w:r>
      <w:r w:rsidR="00896782" w:rsidRPr="00896782">
        <w:rPr>
          <w:rFonts w:ascii="Arial" w:hAnsi="Arial" w:cs="Arial"/>
          <w:noProof/>
        </w:rPr>
        <w:tab/>
        <w:t xml:space="preserve">GOV.UK (National Statistics): English indices of deprivation 2015. </w:t>
      </w:r>
      <w:r w:rsidR="00896782" w:rsidRPr="00896782">
        <w:rPr>
          <w:rFonts w:ascii="Arial" w:hAnsi="Arial" w:cs="Arial"/>
          <w:i/>
          <w:iCs/>
          <w:noProof/>
        </w:rPr>
        <w:t>Accessed from https//www.gov.uk/government/statistics/english-indices-of-deprivation-2015; Accessed January 2018</w:t>
      </w:r>
      <w:r w:rsidR="00896782" w:rsidRPr="00896782">
        <w:rPr>
          <w:rFonts w:ascii="Arial" w:hAnsi="Arial" w:cs="Arial"/>
          <w:noProof/>
        </w:rPr>
        <w:t xml:space="preserve"> </w:t>
      </w:r>
    </w:p>
    <w:p w14:paraId="54A062F1"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2. </w:t>
      </w:r>
      <w:r w:rsidRPr="00896782">
        <w:rPr>
          <w:rFonts w:ascii="Arial" w:hAnsi="Arial" w:cs="Arial"/>
          <w:noProof/>
        </w:rPr>
        <w:tab/>
        <w:t xml:space="preserve">Pimentel MAF, Clifton DA, Clifton L, et al.: A review of novelty detection. </w:t>
      </w:r>
      <w:r w:rsidRPr="00896782">
        <w:rPr>
          <w:rFonts w:ascii="Arial" w:hAnsi="Arial" w:cs="Arial"/>
          <w:i/>
          <w:iCs/>
          <w:noProof/>
        </w:rPr>
        <w:t>Signal Processing</w:t>
      </w:r>
      <w:r w:rsidRPr="00896782">
        <w:rPr>
          <w:rFonts w:ascii="Arial" w:hAnsi="Arial" w:cs="Arial"/>
          <w:noProof/>
        </w:rPr>
        <w:t xml:space="preserve"> 2014; 99:215–249</w:t>
      </w:r>
    </w:p>
    <w:p w14:paraId="2800A699"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lastRenderedPageBreak/>
        <w:t xml:space="preserve">3. </w:t>
      </w:r>
      <w:r w:rsidRPr="00896782">
        <w:rPr>
          <w:rFonts w:ascii="Arial" w:hAnsi="Arial" w:cs="Arial"/>
          <w:noProof/>
        </w:rPr>
        <w:tab/>
        <w:t xml:space="preserve">Watkinson PJ, Barber VS, Price JD, et al.: A randomised controlled trial of the effect of continuous electronic physiological monitoring on the adverse event rate in high risk medical and surgical patients. </w:t>
      </w:r>
      <w:r w:rsidRPr="00896782">
        <w:rPr>
          <w:rFonts w:ascii="Arial" w:hAnsi="Arial" w:cs="Arial"/>
          <w:i/>
          <w:iCs/>
          <w:noProof/>
        </w:rPr>
        <w:t>Anaesthesia</w:t>
      </w:r>
      <w:r w:rsidRPr="00896782">
        <w:rPr>
          <w:rFonts w:ascii="Arial" w:hAnsi="Arial" w:cs="Arial"/>
          <w:noProof/>
        </w:rPr>
        <w:t xml:space="preserve"> 2006; </w:t>
      </w:r>
    </w:p>
    <w:p w14:paraId="3C03F667"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4. </w:t>
      </w:r>
      <w:r w:rsidRPr="00896782">
        <w:rPr>
          <w:rFonts w:ascii="Arial" w:hAnsi="Arial" w:cs="Arial"/>
          <w:noProof/>
        </w:rPr>
        <w:tab/>
        <w:t xml:space="preserve">Clifton DA, Wong D, Clifton L, et al.: A large-scale clinical validation of an integrated monitoring system in the Emergency Department. </w:t>
      </w:r>
      <w:r w:rsidRPr="00896782">
        <w:rPr>
          <w:rFonts w:ascii="Arial" w:hAnsi="Arial" w:cs="Arial"/>
          <w:i/>
          <w:iCs/>
          <w:noProof/>
        </w:rPr>
        <w:t>IEEE J Biomed Heal Informatics</w:t>
      </w:r>
      <w:r w:rsidRPr="00896782">
        <w:rPr>
          <w:rFonts w:ascii="Arial" w:hAnsi="Arial" w:cs="Arial"/>
          <w:noProof/>
        </w:rPr>
        <w:t xml:space="preserve"> 2013; </w:t>
      </w:r>
    </w:p>
    <w:p w14:paraId="7F109772"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5. </w:t>
      </w:r>
      <w:r w:rsidRPr="00896782">
        <w:rPr>
          <w:rFonts w:ascii="Arial" w:hAnsi="Arial" w:cs="Arial"/>
          <w:noProof/>
        </w:rPr>
        <w:tab/>
        <w:t>Johnson AEW, Burgess J, Pimentel MAF, et al.: Physiological trajectory of patients pre and post ICU discharge. In: 2014 36th Annual International Conference of the IEEE Engineering in Medicine and Biology Society. IEEE; 2014. p. 3160–3163.</w:t>
      </w:r>
    </w:p>
    <w:p w14:paraId="3A8EDBF0"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6. </w:t>
      </w:r>
      <w:r w:rsidRPr="00896782">
        <w:rPr>
          <w:rFonts w:ascii="Arial" w:hAnsi="Arial" w:cs="Arial"/>
          <w:noProof/>
        </w:rPr>
        <w:tab/>
        <w:t xml:space="preserve">Pimentel MAF, Clifton DA, Clifton L, et al.: Modelling physiological deterioration in post-operative patient vital-sign data. </w:t>
      </w:r>
      <w:r w:rsidRPr="00896782">
        <w:rPr>
          <w:rFonts w:ascii="Arial" w:hAnsi="Arial" w:cs="Arial"/>
          <w:i/>
          <w:iCs/>
          <w:noProof/>
        </w:rPr>
        <w:t>Med Biol Eng Comput</w:t>
      </w:r>
      <w:r w:rsidRPr="00896782">
        <w:rPr>
          <w:rFonts w:ascii="Arial" w:hAnsi="Arial" w:cs="Arial"/>
          <w:noProof/>
        </w:rPr>
        <w:t xml:space="preserve"> 2013; </w:t>
      </w:r>
    </w:p>
    <w:p w14:paraId="159852D8"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7. </w:t>
      </w:r>
      <w:r w:rsidRPr="00896782">
        <w:rPr>
          <w:rFonts w:ascii="Arial" w:hAnsi="Arial" w:cs="Arial"/>
          <w:noProof/>
        </w:rPr>
        <w:tab/>
        <w:t>Orphanidou C, Clifton D, Shahab Khan, et al.: Telemetry-based vital sign monitoring for ambulatory hospital patients. In: 2009 Annual International Conference of the IEEE Engineering in Medicine and Biology Society. IEEE; 2009. p. 4650–4653.</w:t>
      </w:r>
    </w:p>
    <w:p w14:paraId="0FAED4FB"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8. </w:t>
      </w:r>
      <w:r w:rsidRPr="00896782">
        <w:rPr>
          <w:rFonts w:ascii="Arial" w:hAnsi="Arial" w:cs="Arial"/>
          <w:noProof/>
        </w:rPr>
        <w:tab/>
        <w:t xml:space="preserve">Lemeshow S, Hosmer DW: A review of goodness of fit statistics for use in the development of logistic regression models. </w:t>
      </w:r>
      <w:r w:rsidRPr="00896782">
        <w:rPr>
          <w:rFonts w:ascii="Arial" w:hAnsi="Arial" w:cs="Arial"/>
          <w:i/>
          <w:iCs/>
          <w:noProof/>
        </w:rPr>
        <w:t>Am J Epidemiol</w:t>
      </w:r>
      <w:r w:rsidRPr="00896782">
        <w:rPr>
          <w:rFonts w:ascii="Arial" w:hAnsi="Arial" w:cs="Arial"/>
          <w:noProof/>
        </w:rPr>
        <w:t xml:space="preserve"> 1982; </w:t>
      </w:r>
    </w:p>
    <w:p w14:paraId="412D509D"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9. </w:t>
      </w:r>
      <w:r w:rsidRPr="00896782">
        <w:rPr>
          <w:rFonts w:ascii="Arial" w:hAnsi="Arial" w:cs="Arial"/>
          <w:noProof/>
        </w:rPr>
        <w:tab/>
        <w:t xml:space="preserve">Kramer AA, Zimmerman JE: Assessing the calibration of mortality benchmarks in critical care: The Hosmer-Lemeshow test revisited*. </w:t>
      </w:r>
      <w:r w:rsidRPr="00896782">
        <w:rPr>
          <w:rFonts w:ascii="Arial" w:hAnsi="Arial" w:cs="Arial"/>
          <w:i/>
          <w:iCs/>
          <w:noProof/>
        </w:rPr>
        <w:t>Crit Care Med</w:t>
      </w:r>
      <w:r w:rsidRPr="00896782">
        <w:rPr>
          <w:rFonts w:ascii="Arial" w:hAnsi="Arial" w:cs="Arial"/>
          <w:noProof/>
        </w:rPr>
        <w:t xml:space="preserve"> 2007; 35:2052–2056</w:t>
      </w:r>
    </w:p>
    <w:p w14:paraId="027A700E"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10. </w:t>
      </w:r>
      <w:r w:rsidRPr="00896782">
        <w:rPr>
          <w:rFonts w:ascii="Arial" w:hAnsi="Arial" w:cs="Arial"/>
          <w:noProof/>
        </w:rPr>
        <w:tab/>
        <w:t xml:space="preserve">Cox DR: Two further applications of a model for binary regression. </w:t>
      </w:r>
      <w:r w:rsidRPr="00896782">
        <w:rPr>
          <w:rFonts w:ascii="Arial" w:hAnsi="Arial" w:cs="Arial"/>
          <w:i/>
          <w:iCs/>
          <w:noProof/>
        </w:rPr>
        <w:t>Biometrika</w:t>
      </w:r>
      <w:r w:rsidRPr="00896782">
        <w:rPr>
          <w:rFonts w:ascii="Arial" w:hAnsi="Arial" w:cs="Arial"/>
          <w:noProof/>
        </w:rPr>
        <w:t xml:space="preserve"> 1958; 45:562–565</w:t>
      </w:r>
    </w:p>
    <w:p w14:paraId="2E297479"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11. </w:t>
      </w:r>
      <w:r w:rsidRPr="00896782">
        <w:rPr>
          <w:rFonts w:ascii="Arial" w:hAnsi="Arial" w:cs="Arial"/>
          <w:noProof/>
        </w:rPr>
        <w:tab/>
        <w:t xml:space="preserve">Prytherch DR, Smith GB, Schmidt PE, et al.: ViEWS-Towards a national early warning score for detecting adult inpatient deterioration. </w:t>
      </w:r>
      <w:r w:rsidRPr="00896782">
        <w:rPr>
          <w:rFonts w:ascii="Arial" w:hAnsi="Arial" w:cs="Arial"/>
          <w:i/>
          <w:iCs/>
          <w:noProof/>
        </w:rPr>
        <w:t>Resuscitation</w:t>
      </w:r>
      <w:r w:rsidRPr="00896782">
        <w:rPr>
          <w:rFonts w:ascii="Arial" w:hAnsi="Arial" w:cs="Arial"/>
          <w:noProof/>
        </w:rPr>
        <w:t xml:space="preserve"> 2010; 81:932–937</w:t>
      </w:r>
    </w:p>
    <w:p w14:paraId="0765FFF5"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12. </w:t>
      </w:r>
      <w:r w:rsidRPr="00896782">
        <w:rPr>
          <w:rFonts w:ascii="Arial" w:hAnsi="Arial" w:cs="Arial"/>
          <w:noProof/>
        </w:rPr>
        <w:tab/>
        <w:t xml:space="preserve">Badriyah T, Briggs JS, Meredith P, et al.: Decision-tree early warning score (DTEWS) validates the design of the National Early Warning Score (NEWS). </w:t>
      </w:r>
      <w:r w:rsidRPr="00896782">
        <w:rPr>
          <w:rFonts w:ascii="Arial" w:hAnsi="Arial" w:cs="Arial"/>
          <w:i/>
          <w:iCs/>
          <w:noProof/>
        </w:rPr>
        <w:t>Resuscitation</w:t>
      </w:r>
      <w:r w:rsidRPr="00896782">
        <w:rPr>
          <w:rFonts w:ascii="Arial" w:hAnsi="Arial" w:cs="Arial"/>
          <w:noProof/>
        </w:rPr>
        <w:t xml:space="preserve"> 2014; 85:418–423</w:t>
      </w:r>
    </w:p>
    <w:p w14:paraId="6F1914BF" w14:textId="77777777" w:rsidR="00896782" w:rsidRPr="00896782" w:rsidRDefault="00896782" w:rsidP="00896782">
      <w:pPr>
        <w:widowControl w:val="0"/>
        <w:autoSpaceDE w:val="0"/>
        <w:autoSpaceDN w:val="0"/>
        <w:adjustRightInd w:val="0"/>
        <w:spacing w:after="120"/>
        <w:ind w:left="640" w:hanging="640"/>
        <w:rPr>
          <w:rFonts w:ascii="Arial" w:hAnsi="Arial" w:cs="Arial"/>
          <w:noProof/>
        </w:rPr>
      </w:pPr>
      <w:r w:rsidRPr="00896782">
        <w:rPr>
          <w:rFonts w:ascii="Arial" w:hAnsi="Arial" w:cs="Arial"/>
          <w:noProof/>
        </w:rPr>
        <w:t xml:space="preserve">13. </w:t>
      </w:r>
      <w:r w:rsidRPr="00896782">
        <w:rPr>
          <w:rFonts w:ascii="Arial" w:hAnsi="Arial" w:cs="Arial"/>
          <w:noProof/>
        </w:rPr>
        <w:tab/>
        <w:t xml:space="preserve">DiCiccio TJ, Efron B: Bootstrap confidence intervals. </w:t>
      </w:r>
      <w:r w:rsidRPr="00896782">
        <w:rPr>
          <w:rFonts w:ascii="Arial" w:hAnsi="Arial" w:cs="Arial"/>
          <w:i/>
          <w:iCs/>
          <w:noProof/>
        </w:rPr>
        <w:t>Stat Sci</w:t>
      </w:r>
      <w:r w:rsidRPr="00896782">
        <w:rPr>
          <w:rFonts w:ascii="Arial" w:hAnsi="Arial" w:cs="Arial"/>
          <w:noProof/>
        </w:rPr>
        <w:t xml:space="preserve"> 1996; </w:t>
      </w:r>
    </w:p>
    <w:p w14:paraId="51F5FC2E" w14:textId="303DCCD0" w:rsidR="00F54C87" w:rsidRPr="005C41B0" w:rsidRDefault="00CB7493" w:rsidP="00896782">
      <w:pPr>
        <w:widowControl w:val="0"/>
        <w:autoSpaceDE w:val="0"/>
        <w:autoSpaceDN w:val="0"/>
        <w:adjustRightInd w:val="0"/>
        <w:spacing w:after="120"/>
        <w:ind w:left="640" w:hanging="640"/>
        <w:rPr>
          <w:rFonts w:ascii="Arial" w:hAnsi="Arial" w:cs="Arial"/>
        </w:rPr>
      </w:pPr>
      <w:r>
        <w:rPr>
          <w:rFonts w:ascii="Arial" w:hAnsi="Arial" w:cs="Arial"/>
        </w:rPr>
        <w:fldChar w:fldCharType="end"/>
      </w:r>
    </w:p>
    <w:sectPr w:rsidR="00F54C87" w:rsidRPr="005C41B0" w:rsidSect="006E2CFA">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AEEA5" w14:textId="77777777" w:rsidR="008036F3" w:rsidRDefault="008036F3" w:rsidP="002E69D3">
      <w:r>
        <w:separator/>
      </w:r>
    </w:p>
  </w:endnote>
  <w:endnote w:type="continuationSeparator" w:id="0">
    <w:p w14:paraId="1460DA66" w14:textId="77777777" w:rsidR="008036F3" w:rsidRDefault="008036F3" w:rsidP="002E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Droid Sans Fallback">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ohit Hindi">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39D9" w14:textId="77777777" w:rsidR="008036F3" w:rsidRDefault="008036F3" w:rsidP="002E69D3">
      <w:r>
        <w:separator/>
      </w:r>
    </w:p>
  </w:footnote>
  <w:footnote w:type="continuationSeparator" w:id="0">
    <w:p w14:paraId="4ACF75E7" w14:textId="77777777" w:rsidR="008036F3" w:rsidRDefault="008036F3" w:rsidP="002E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3BB"/>
    <w:multiLevelType w:val="hybridMultilevel"/>
    <w:tmpl w:val="D35AD0D4"/>
    <w:lvl w:ilvl="0" w:tplc="31586BC4">
      <w:numFmt w:val="bullet"/>
      <w:lvlText w:val=""/>
      <w:lvlJc w:val="left"/>
      <w:pPr>
        <w:ind w:left="720" w:hanging="360"/>
      </w:pPr>
      <w:rPr>
        <w:rFonts w:ascii="Symbol" w:eastAsia="Droid Sans Fallback"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00943"/>
    <w:multiLevelType w:val="hybridMultilevel"/>
    <w:tmpl w:val="064265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86527"/>
    <w:multiLevelType w:val="hybridMultilevel"/>
    <w:tmpl w:val="C3D42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04F6F"/>
    <w:multiLevelType w:val="hybridMultilevel"/>
    <w:tmpl w:val="E1FAAEA6"/>
    <w:lvl w:ilvl="0" w:tplc="B55E612A">
      <w:start w:val="30"/>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91F2C"/>
    <w:multiLevelType w:val="hybridMultilevel"/>
    <w:tmpl w:val="09A68C34"/>
    <w:lvl w:ilvl="0" w:tplc="0108DB8C">
      <w:numFmt w:val="bullet"/>
      <w:lvlText w:val="-"/>
      <w:lvlJc w:val="left"/>
      <w:pPr>
        <w:ind w:left="720" w:hanging="360"/>
      </w:pPr>
      <w:rPr>
        <w:rFonts w:ascii="Times New Roman" w:eastAsia="Droid Sans Fallback"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51E80"/>
    <w:multiLevelType w:val="multilevel"/>
    <w:tmpl w:val="ACB2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C1810"/>
    <w:multiLevelType w:val="hybridMultilevel"/>
    <w:tmpl w:val="98BE59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F333E"/>
    <w:multiLevelType w:val="hybridMultilevel"/>
    <w:tmpl w:val="C4F6CC5A"/>
    <w:lvl w:ilvl="0" w:tplc="336E5BA2">
      <w:numFmt w:val="bullet"/>
      <w:lvlText w:val=""/>
      <w:lvlJc w:val="left"/>
      <w:pPr>
        <w:ind w:left="720" w:hanging="360"/>
      </w:pPr>
      <w:rPr>
        <w:rFonts w:ascii="Symbol" w:eastAsia="Droid Sans Fallback"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35F73"/>
    <w:multiLevelType w:val="hybridMultilevel"/>
    <w:tmpl w:val="2F1EF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B1436F"/>
    <w:multiLevelType w:val="hybridMultilevel"/>
    <w:tmpl w:val="365CBCA2"/>
    <w:lvl w:ilvl="0" w:tplc="893EA226">
      <w:numFmt w:val="bullet"/>
      <w:lvlText w:val=""/>
      <w:lvlJc w:val="left"/>
      <w:pPr>
        <w:ind w:left="720" w:hanging="360"/>
      </w:pPr>
      <w:rPr>
        <w:rFonts w:ascii="Symbol" w:eastAsia="Droid Sans Fallback"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4"/>
  </w:num>
  <w:num w:numId="6">
    <w:abstractNumId w:val="2"/>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9pvfes39aa0xexws959f9u2zp2fexdrzer&quot;&gt;PICRAM paper&lt;record-ids&gt;&lt;item&gt;1&lt;/item&gt;&lt;item&gt;2&lt;/item&gt;&lt;item&gt;6&lt;/item&gt;&lt;item&gt;8&lt;/item&gt;&lt;item&gt;9&lt;/item&gt;&lt;item&gt;16&lt;/item&gt;&lt;item&gt;19&lt;/item&gt;&lt;item&gt;25&lt;/item&gt;&lt;item&gt;26&lt;/item&gt;&lt;item&gt;28&lt;/item&gt;&lt;item&gt;35&lt;/item&gt;&lt;item&gt;42&lt;/item&gt;&lt;item&gt;45&lt;/item&gt;&lt;item&gt;46&lt;/item&gt;&lt;item&gt;48&lt;/item&gt;&lt;item&gt;49&lt;/item&gt;&lt;item&gt;50&lt;/item&gt;&lt;item&gt;51&lt;/item&gt;&lt;item&gt;52&lt;/item&gt;&lt;item&gt;53&lt;/item&gt;&lt;item&gt;55&lt;/item&gt;&lt;item&gt;56&lt;/item&gt;&lt;item&gt;57&lt;/item&gt;&lt;item&gt;58&lt;/item&gt;&lt;item&gt;59&lt;/item&gt;&lt;item&gt;60&lt;/item&gt;&lt;item&gt;61&lt;/item&gt;&lt;item&gt;62&lt;/item&gt;&lt;item&gt;65&lt;/item&gt;&lt;item&gt;66&lt;/item&gt;&lt;item&gt;68&lt;/item&gt;&lt;item&gt;69&lt;/item&gt;&lt;item&gt;71&lt;/item&gt;&lt;item&gt;72&lt;/item&gt;&lt;item&gt;73&lt;/item&gt;&lt;item&gt;74&lt;/item&gt;&lt;item&gt;75&lt;/item&gt;&lt;item&gt;76&lt;/item&gt;&lt;item&gt;77&lt;/item&gt;&lt;item&gt;78&lt;/item&gt;&lt;item&gt;80&lt;/item&gt;&lt;item&gt;82&lt;/item&gt;&lt;item&gt;83&lt;/item&gt;&lt;item&gt;87&lt;/item&gt;&lt;item&gt;94&lt;/item&gt;&lt;item&gt;95&lt;/item&gt;&lt;item&gt;96&lt;/item&gt;&lt;item&gt;98&lt;/item&gt;&lt;item&gt;99&lt;/item&gt;&lt;item&gt;100&lt;/item&gt;&lt;item&gt;101&lt;/item&gt;&lt;item&gt;102&lt;/item&gt;&lt;/record-ids&gt;&lt;/item&gt;&lt;/Libraries&gt;"/>
  </w:docVars>
  <w:rsids>
    <w:rsidRoot w:val="004F08B4"/>
    <w:rsid w:val="000027ED"/>
    <w:rsid w:val="000036A2"/>
    <w:rsid w:val="00005D3B"/>
    <w:rsid w:val="00012013"/>
    <w:rsid w:val="0001447A"/>
    <w:rsid w:val="00014972"/>
    <w:rsid w:val="0001657D"/>
    <w:rsid w:val="00025B71"/>
    <w:rsid w:val="00031D01"/>
    <w:rsid w:val="00032351"/>
    <w:rsid w:val="00033E68"/>
    <w:rsid w:val="00036EDE"/>
    <w:rsid w:val="00040BEA"/>
    <w:rsid w:val="00043AAB"/>
    <w:rsid w:val="00045AC0"/>
    <w:rsid w:val="000512C2"/>
    <w:rsid w:val="00052B65"/>
    <w:rsid w:val="0005401E"/>
    <w:rsid w:val="000541E0"/>
    <w:rsid w:val="00054EA5"/>
    <w:rsid w:val="00057647"/>
    <w:rsid w:val="00057B8E"/>
    <w:rsid w:val="000630C6"/>
    <w:rsid w:val="00072315"/>
    <w:rsid w:val="00073E50"/>
    <w:rsid w:val="00082C7D"/>
    <w:rsid w:val="000912FE"/>
    <w:rsid w:val="00091FC0"/>
    <w:rsid w:val="00095BCE"/>
    <w:rsid w:val="000A1A12"/>
    <w:rsid w:val="000A4A56"/>
    <w:rsid w:val="000A5860"/>
    <w:rsid w:val="000B2968"/>
    <w:rsid w:val="000B2E89"/>
    <w:rsid w:val="000D2117"/>
    <w:rsid w:val="000D6DCC"/>
    <w:rsid w:val="000E0DDE"/>
    <w:rsid w:val="000E34D8"/>
    <w:rsid w:val="000E77CD"/>
    <w:rsid w:val="000F0013"/>
    <w:rsid w:val="001153C3"/>
    <w:rsid w:val="00115839"/>
    <w:rsid w:val="00115FDB"/>
    <w:rsid w:val="0012133F"/>
    <w:rsid w:val="00122684"/>
    <w:rsid w:val="001319C1"/>
    <w:rsid w:val="0014141E"/>
    <w:rsid w:val="001437A0"/>
    <w:rsid w:val="00144257"/>
    <w:rsid w:val="00146523"/>
    <w:rsid w:val="00152E30"/>
    <w:rsid w:val="00153AD7"/>
    <w:rsid w:val="001610D8"/>
    <w:rsid w:val="00163F44"/>
    <w:rsid w:val="001704F4"/>
    <w:rsid w:val="001779A6"/>
    <w:rsid w:val="00181C71"/>
    <w:rsid w:val="00182574"/>
    <w:rsid w:val="00186904"/>
    <w:rsid w:val="00190D55"/>
    <w:rsid w:val="00192D3A"/>
    <w:rsid w:val="001A3B28"/>
    <w:rsid w:val="001A4C18"/>
    <w:rsid w:val="001A599F"/>
    <w:rsid w:val="001B10D6"/>
    <w:rsid w:val="001B1F1E"/>
    <w:rsid w:val="001B5766"/>
    <w:rsid w:val="001B5803"/>
    <w:rsid w:val="001B59FE"/>
    <w:rsid w:val="001C4A51"/>
    <w:rsid w:val="001C6FCB"/>
    <w:rsid w:val="001D3642"/>
    <w:rsid w:val="001D468E"/>
    <w:rsid w:val="001D6D70"/>
    <w:rsid w:val="001E1F65"/>
    <w:rsid w:val="001E2B5A"/>
    <w:rsid w:val="001E44DD"/>
    <w:rsid w:val="001E73BB"/>
    <w:rsid w:val="001E78EB"/>
    <w:rsid w:val="001E79EE"/>
    <w:rsid w:val="001E7F66"/>
    <w:rsid w:val="001F2B48"/>
    <w:rsid w:val="00201BAA"/>
    <w:rsid w:val="00204F57"/>
    <w:rsid w:val="00211AD2"/>
    <w:rsid w:val="00217B95"/>
    <w:rsid w:val="00220623"/>
    <w:rsid w:val="0022332A"/>
    <w:rsid w:val="00233AFA"/>
    <w:rsid w:val="00235803"/>
    <w:rsid w:val="00237198"/>
    <w:rsid w:val="0024008E"/>
    <w:rsid w:val="00246482"/>
    <w:rsid w:val="00250C5C"/>
    <w:rsid w:val="00251324"/>
    <w:rsid w:val="00261691"/>
    <w:rsid w:val="00266233"/>
    <w:rsid w:val="00266B94"/>
    <w:rsid w:val="0026767F"/>
    <w:rsid w:val="00273588"/>
    <w:rsid w:val="00274127"/>
    <w:rsid w:val="00276CFC"/>
    <w:rsid w:val="00281715"/>
    <w:rsid w:val="00284B39"/>
    <w:rsid w:val="00290B69"/>
    <w:rsid w:val="0029605E"/>
    <w:rsid w:val="002A19F1"/>
    <w:rsid w:val="002A40D2"/>
    <w:rsid w:val="002A7EF0"/>
    <w:rsid w:val="002B0BB6"/>
    <w:rsid w:val="002C0870"/>
    <w:rsid w:val="002C1798"/>
    <w:rsid w:val="002C79AA"/>
    <w:rsid w:val="002D00ED"/>
    <w:rsid w:val="002D059A"/>
    <w:rsid w:val="002D0D5D"/>
    <w:rsid w:val="002D7CF7"/>
    <w:rsid w:val="002E32FD"/>
    <w:rsid w:val="002E3B7F"/>
    <w:rsid w:val="002E69D3"/>
    <w:rsid w:val="002F04AA"/>
    <w:rsid w:val="002F4CEA"/>
    <w:rsid w:val="002F56B1"/>
    <w:rsid w:val="002F5961"/>
    <w:rsid w:val="003011B0"/>
    <w:rsid w:val="00313C4B"/>
    <w:rsid w:val="00325B6E"/>
    <w:rsid w:val="00327585"/>
    <w:rsid w:val="0033347D"/>
    <w:rsid w:val="00333F8D"/>
    <w:rsid w:val="003345FD"/>
    <w:rsid w:val="00335A17"/>
    <w:rsid w:val="00336E64"/>
    <w:rsid w:val="00337B8D"/>
    <w:rsid w:val="00337E5E"/>
    <w:rsid w:val="0034257E"/>
    <w:rsid w:val="00342E47"/>
    <w:rsid w:val="00347BDF"/>
    <w:rsid w:val="003535D9"/>
    <w:rsid w:val="00354B16"/>
    <w:rsid w:val="00360C6B"/>
    <w:rsid w:val="00372245"/>
    <w:rsid w:val="00375C44"/>
    <w:rsid w:val="003817D9"/>
    <w:rsid w:val="00381E2A"/>
    <w:rsid w:val="00385713"/>
    <w:rsid w:val="00393170"/>
    <w:rsid w:val="00393ADF"/>
    <w:rsid w:val="00394863"/>
    <w:rsid w:val="00396CC7"/>
    <w:rsid w:val="003971B2"/>
    <w:rsid w:val="00397A09"/>
    <w:rsid w:val="003A53D6"/>
    <w:rsid w:val="003B4D49"/>
    <w:rsid w:val="003B5BF9"/>
    <w:rsid w:val="003D1678"/>
    <w:rsid w:val="003D4A81"/>
    <w:rsid w:val="003D51A9"/>
    <w:rsid w:val="003D6A02"/>
    <w:rsid w:val="003E0B7B"/>
    <w:rsid w:val="003E2FE9"/>
    <w:rsid w:val="003E578B"/>
    <w:rsid w:val="003E6E17"/>
    <w:rsid w:val="003F016C"/>
    <w:rsid w:val="003F5F09"/>
    <w:rsid w:val="00400653"/>
    <w:rsid w:val="004011E0"/>
    <w:rsid w:val="00403C3F"/>
    <w:rsid w:val="00403F6C"/>
    <w:rsid w:val="0040690F"/>
    <w:rsid w:val="004100E0"/>
    <w:rsid w:val="0041212B"/>
    <w:rsid w:val="00412CE7"/>
    <w:rsid w:val="00420E5C"/>
    <w:rsid w:val="00421733"/>
    <w:rsid w:val="0042253D"/>
    <w:rsid w:val="00422D51"/>
    <w:rsid w:val="004372EF"/>
    <w:rsid w:val="00442C99"/>
    <w:rsid w:val="004440B2"/>
    <w:rsid w:val="004449C7"/>
    <w:rsid w:val="00446091"/>
    <w:rsid w:val="00451553"/>
    <w:rsid w:val="004540F1"/>
    <w:rsid w:val="0045457A"/>
    <w:rsid w:val="0047153A"/>
    <w:rsid w:val="00471CC4"/>
    <w:rsid w:val="00474FF3"/>
    <w:rsid w:val="0047578C"/>
    <w:rsid w:val="00477DD9"/>
    <w:rsid w:val="004812EE"/>
    <w:rsid w:val="00490BBD"/>
    <w:rsid w:val="00490C3A"/>
    <w:rsid w:val="00494102"/>
    <w:rsid w:val="004A75EB"/>
    <w:rsid w:val="004B2365"/>
    <w:rsid w:val="004B451B"/>
    <w:rsid w:val="004B6591"/>
    <w:rsid w:val="004B7DA6"/>
    <w:rsid w:val="004C1674"/>
    <w:rsid w:val="004C56AF"/>
    <w:rsid w:val="004C7279"/>
    <w:rsid w:val="004D1762"/>
    <w:rsid w:val="004D37E2"/>
    <w:rsid w:val="004E084D"/>
    <w:rsid w:val="004E6EBE"/>
    <w:rsid w:val="004F08B4"/>
    <w:rsid w:val="004F0D90"/>
    <w:rsid w:val="004F325A"/>
    <w:rsid w:val="004F46A1"/>
    <w:rsid w:val="0050245A"/>
    <w:rsid w:val="00502C50"/>
    <w:rsid w:val="00504599"/>
    <w:rsid w:val="00506EFA"/>
    <w:rsid w:val="00507819"/>
    <w:rsid w:val="00507C86"/>
    <w:rsid w:val="005101B2"/>
    <w:rsid w:val="0051350B"/>
    <w:rsid w:val="00514AC2"/>
    <w:rsid w:val="00527ADD"/>
    <w:rsid w:val="00531FED"/>
    <w:rsid w:val="00536D4B"/>
    <w:rsid w:val="00540D1A"/>
    <w:rsid w:val="0054405F"/>
    <w:rsid w:val="00544FDD"/>
    <w:rsid w:val="005455BD"/>
    <w:rsid w:val="00545E43"/>
    <w:rsid w:val="00546585"/>
    <w:rsid w:val="00547883"/>
    <w:rsid w:val="00550D74"/>
    <w:rsid w:val="00554FDF"/>
    <w:rsid w:val="0055730F"/>
    <w:rsid w:val="00560013"/>
    <w:rsid w:val="00560B7E"/>
    <w:rsid w:val="00563587"/>
    <w:rsid w:val="005642C1"/>
    <w:rsid w:val="00565E57"/>
    <w:rsid w:val="00565F8F"/>
    <w:rsid w:val="00573B66"/>
    <w:rsid w:val="005777A3"/>
    <w:rsid w:val="00577D91"/>
    <w:rsid w:val="00583487"/>
    <w:rsid w:val="00585277"/>
    <w:rsid w:val="0058698D"/>
    <w:rsid w:val="005871B6"/>
    <w:rsid w:val="00590ECA"/>
    <w:rsid w:val="005918E7"/>
    <w:rsid w:val="00591E53"/>
    <w:rsid w:val="00595DA3"/>
    <w:rsid w:val="00595F76"/>
    <w:rsid w:val="005A1382"/>
    <w:rsid w:val="005A5524"/>
    <w:rsid w:val="005B1729"/>
    <w:rsid w:val="005B28C1"/>
    <w:rsid w:val="005B6350"/>
    <w:rsid w:val="005C0624"/>
    <w:rsid w:val="005C0CB4"/>
    <w:rsid w:val="005C11AE"/>
    <w:rsid w:val="005C41B0"/>
    <w:rsid w:val="005C52E9"/>
    <w:rsid w:val="005D6830"/>
    <w:rsid w:val="005E168E"/>
    <w:rsid w:val="005E1D3D"/>
    <w:rsid w:val="005E5E26"/>
    <w:rsid w:val="005F264D"/>
    <w:rsid w:val="005F7140"/>
    <w:rsid w:val="00600632"/>
    <w:rsid w:val="00611E4B"/>
    <w:rsid w:val="00612B5C"/>
    <w:rsid w:val="00617C68"/>
    <w:rsid w:val="006406D0"/>
    <w:rsid w:val="006422CF"/>
    <w:rsid w:val="006454A3"/>
    <w:rsid w:val="006468F3"/>
    <w:rsid w:val="00651070"/>
    <w:rsid w:val="0065182A"/>
    <w:rsid w:val="00656141"/>
    <w:rsid w:val="00684B99"/>
    <w:rsid w:val="006929F0"/>
    <w:rsid w:val="00694A02"/>
    <w:rsid w:val="006A0692"/>
    <w:rsid w:val="006A5A96"/>
    <w:rsid w:val="006A6367"/>
    <w:rsid w:val="006B064F"/>
    <w:rsid w:val="006B6CC9"/>
    <w:rsid w:val="006C1F97"/>
    <w:rsid w:val="006C3B56"/>
    <w:rsid w:val="006C3F9D"/>
    <w:rsid w:val="006C5C7B"/>
    <w:rsid w:val="006D562B"/>
    <w:rsid w:val="006D6408"/>
    <w:rsid w:val="006D7D03"/>
    <w:rsid w:val="006E2CFA"/>
    <w:rsid w:val="006E4E3A"/>
    <w:rsid w:val="006E79F7"/>
    <w:rsid w:val="006F00B9"/>
    <w:rsid w:val="006F44B5"/>
    <w:rsid w:val="007009EB"/>
    <w:rsid w:val="00706E9A"/>
    <w:rsid w:val="00707A7D"/>
    <w:rsid w:val="00710DDE"/>
    <w:rsid w:val="00715D7F"/>
    <w:rsid w:val="00716986"/>
    <w:rsid w:val="00722005"/>
    <w:rsid w:val="0072250C"/>
    <w:rsid w:val="00722DC8"/>
    <w:rsid w:val="00725001"/>
    <w:rsid w:val="007364EA"/>
    <w:rsid w:val="00740EEF"/>
    <w:rsid w:val="00743666"/>
    <w:rsid w:val="0074412E"/>
    <w:rsid w:val="00750F31"/>
    <w:rsid w:val="00751F83"/>
    <w:rsid w:val="007576FA"/>
    <w:rsid w:val="00762C4A"/>
    <w:rsid w:val="00763EE1"/>
    <w:rsid w:val="0076507E"/>
    <w:rsid w:val="00770FC4"/>
    <w:rsid w:val="00772D16"/>
    <w:rsid w:val="00774218"/>
    <w:rsid w:val="007745BE"/>
    <w:rsid w:val="00775532"/>
    <w:rsid w:val="007802D8"/>
    <w:rsid w:val="00787F8A"/>
    <w:rsid w:val="007959CF"/>
    <w:rsid w:val="007961EC"/>
    <w:rsid w:val="00797A07"/>
    <w:rsid w:val="007A1670"/>
    <w:rsid w:val="007A2384"/>
    <w:rsid w:val="007A3658"/>
    <w:rsid w:val="007A36F9"/>
    <w:rsid w:val="007A4043"/>
    <w:rsid w:val="007A6059"/>
    <w:rsid w:val="007A7EEE"/>
    <w:rsid w:val="007B4199"/>
    <w:rsid w:val="007B4B34"/>
    <w:rsid w:val="007B5FB2"/>
    <w:rsid w:val="007C010A"/>
    <w:rsid w:val="007C2299"/>
    <w:rsid w:val="007C734F"/>
    <w:rsid w:val="007D0A52"/>
    <w:rsid w:val="007D2C9C"/>
    <w:rsid w:val="007E464A"/>
    <w:rsid w:val="007E55DC"/>
    <w:rsid w:val="007E59D3"/>
    <w:rsid w:val="007E5DA6"/>
    <w:rsid w:val="007E6F72"/>
    <w:rsid w:val="007F1BB8"/>
    <w:rsid w:val="00800312"/>
    <w:rsid w:val="0080168C"/>
    <w:rsid w:val="008036F3"/>
    <w:rsid w:val="00805CCA"/>
    <w:rsid w:val="00807B98"/>
    <w:rsid w:val="00807C55"/>
    <w:rsid w:val="008136D2"/>
    <w:rsid w:val="00820EAC"/>
    <w:rsid w:val="0082165A"/>
    <w:rsid w:val="00824738"/>
    <w:rsid w:val="0083216D"/>
    <w:rsid w:val="008357A7"/>
    <w:rsid w:val="00845B55"/>
    <w:rsid w:val="00853BF0"/>
    <w:rsid w:val="0085557C"/>
    <w:rsid w:val="00861C45"/>
    <w:rsid w:val="00865A42"/>
    <w:rsid w:val="00874291"/>
    <w:rsid w:val="00884FC2"/>
    <w:rsid w:val="00894B32"/>
    <w:rsid w:val="00895336"/>
    <w:rsid w:val="00896782"/>
    <w:rsid w:val="008A1B0E"/>
    <w:rsid w:val="008A3FC5"/>
    <w:rsid w:val="008A6333"/>
    <w:rsid w:val="008B2880"/>
    <w:rsid w:val="008B5186"/>
    <w:rsid w:val="008B5F43"/>
    <w:rsid w:val="008B6050"/>
    <w:rsid w:val="008C0842"/>
    <w:rsid w:val="008C3D69"/>
    <w:rsid w:val="008C569B"/>
    <w:rsid w:val="008D6C9E"/>
    <w:rsid w:val="008E0FBF"/>
    <w:rsid w:val="008E79AD"/>
    <w:rsid w:val="008F29C7"/>
    <w:rsid w:val="008F4E66"/>
    <w:rsid w:val="008F794A"/>
    <w:rsid w:val="0090196E"/>
    <w:rsid w:val="0090332E"/>
    <w:rsid w:val="009033A9"/>
    <w:rsid w:val="00905199"/>
    <w:rsid w:val="009117ED"/>
    <w:rsid w:val="00913563"/>
    <w:rsid w:val="00914ACA"/>
    <w:rsid w:val="00932742"/>
    <w:rsid w:val="0093540A"/>
    <w:rsid w:val="00935DB3"/>
    <w:rsid w:val="009433D4"/>
    <w:rsid w:val="00946549"/>
    <w:rsid w:val="00953C80"/>
    <w:rsid w:val="00960ABF"/>
    <w:rsid w:val="00962D62"/>
    <w:rsid w:val="009669BF"/>
    <w:rsid w:val="00971248"/>
    <w:rsid w:val="0097247F"/>
    <w:rsid w:val="00976094"/>
    <w:rsid w:val="00977DE8"/>
    <w:rsid w:val="00983DB3"/>
    <w:rsid w:val="00985D4A"/>
    <w:rsid w:val="009876E3"/>
    <w:rsid w:val="00997D3D"/>
    <w:rsid w:val="009A4346"/>
    <w:rsid w:val="009B06C3"/>
    <w:rsid w:val="009B3FE2"/>
    <w:rsid w:val="009B46A4"/>
    <w:rsid w:val="009B4D5F"/>
    <w:rsid w:val="009B6282"/>
    <w:rsid w:val="009B6913"/>
    <w:rsid w:val="009C12B3"/>
    <w:rsid w:val="009C1FA0"/>
    <w:rsid w:val="009C2AA0"/>
    <w:rsid w:val="009C3F9D"/>
    <w:rsid w:val="009C40C2"/>
    <w:rsid w:val="009C4250"/>
    <w:rsid w:val="009C62E9"/>
    <w:rsid w:val="009C6A94"/>
    <w:rsid w:val="009D74F5"/>
    <w:rsid w:val="009E3CE1"/>
    <w:rsid w:val="009E700C"/>
    <w:rsid w:val="009E71EC"/>
    <w:rsid w:val="009F36FD"/>
    <w:rsid w:val="009F51C2"/>
    <w:rsid w:val="009F5F8B"/>
    <w:rsid w:val="00A00FD4"/>
    <w:rsid w:val="00A011FE"/>
    <w:rsid w:val="00A014CA"/>
    <w:rsid w:val="00A02F31"/>
    <w:rsid w:val="00A13C28"/>
    <w:rsid w:val="00A140A9"/>
    <w:rsid w:val="00A16B68"/>
    <w:rsid w:val="00A211CC"/>
    <w:rsid w:val="00A262BB"/>
    <w:rsid w:val="00A278BB"/>
    <w:rsid w:val="00A327E6"/>
    <w:rsid w:val="00A43D48"/>
    <w:rsid w:val="00A61501"/>
    <w:rsid w:val="00A7029B"/>
    <w:rsid w:val="00A707D9"/>
    <w:rsid w:val="00A74DE3"/>
    <w:rsid w:val="00A768BA"/>
    <w:rsid w:val="00A769C8"/>
    <w:rsid w:val="00A77F40"/>
    <w:rsid w:val="00A803F3"/>
    <w:rsid w:val="00A87054"/>
    <w:rsid w:val="00A873AE"/>
    <w:rsid w:val="00A90160"/>
    <w:rsid w:val="00A93729"/>
    <w:rsid w:val="00A94CFC"/>
    <w:rsid w:val="00A94FA0"/>
    <w:rsid w:val="00A95992"/>
    <w:rsid w:val="00A96F4B"/>
    <w:rsid w:val="00AB0E0B"/>
    <w:rsid w:val="00AB5FB4"/>
    <w:rsid w:val="00AB71C9"/>
    <w:rsid w:val="00AC1AAA"/>
    <w:rsid w:val="00AC1AE4"/>
    <w:rsid w:val="00AC1EBD"/>
    <w:rsid w:val="00AC4246"/>
    <w:rsid w:val="00AD0412"/>
    <w:rsid w:val="00AD3F3A"/>
    <w:rsid w:val="00AD6E85"/>
    <w:rsid w:val="00AE0402"/>
    <w:rsid w:val="00AE3BD6"/>
    <w:rsid w:val="00AE5292"/>
    <w:rsid w:val="00AE760A"/>
    <w:rsid w:val="00AF24BC"/>
    <w:rsid w:val="00AF56F2"/>
    <w:rsid w:val="00AF6F81"/>
    <w:rsid w:val="00AF79E6"/>
    <w:rsid w:val="00B033A9"/>
    <w:rsid w:val="00B0564F"/>
    <w:rsid w:val="00B06B37"/>
    <w:rsid w:val="00B13BD1"/>
    <w:rsid w:val="00B30A90"/>
    <w:rsid w:val="00B30D08"/>
    <w:rsid w:val="00B32126"/>
    <w:rsid w:val="00B375B1"/>
    <w:rsid w:val="00B3795F"/>
    <w:rsid w:val="00B44BCC"/>
    <w:rsid w:val="00B46698"/>
    <w:rsid w:val="00B56350"/>
    <w:rsid w:val="00B60319"/>
    <w:rsid w:val="00B66A91"/>
    <w:rsid w:val="00B710CE"/>
    <w:rsid w:val="00B719A7"/>
    <w:rsid w:val="00B74CFE"/>
    <w:rsid w:val="00B75ED9"/>
    <w:rsid w:val="00B77E3C"/>
    <w:rsid w:val="00B82774"/>
    <w:rsid w:val="00B83C77"/>
    <w:rsid w:val="00B87082"/>
    <w:rsid w:val="00B875D1"/>
    <w:rsid w:val="00B918AC"/>
    <w:rsid w:val="00BA13FE"/>
    <w:rsid w:val="00BA2B5D"/>
    <w:rsid w:val="00BA4BD2"/>
    <w:rsid w:val="00BB26FD"/>
    <w:rsid w:val="00BB5E7C"/>
    <w:rsid w:val="00BC003A"/>
    <w:rsid w:val="00BC08B3"/>
    <w:rsid w:val="00BC0F27"/>
    <w:rsid w:val="00BC4598"/>
    <w:rsid w:val="00BC5D4F"/>
    <w:rsid w:val="00BC6CEB"/>
    <w:rsid w:val="00BC7621"/>
    <w:rsid w:val="00BD3DE1"/>
    <w:rsid w:val="00BD48AB"/>
    <w:rsid w:val="00BD51F8"/>
    <w:rsid w:val="00BD5239"/>
    <w:rsid w:val="00BD5C2A"/>
    <w:rsid w:val="00BE2E41"/>
    <w:rsid w:val="00BE5C2B"/>
    <w:rsid w:val="00BF1484"/>
    <w:rsid w:val="00BF7046"/>
    <w:rsid w:val="00C00CB5"/>
    <w:rsid w:val="00C01351"/>
    <w:rsid w:val="00C0275B"/>
    <w:rsid w:val="00C02E81"/>
    <w:rsid w:val="00C05CA7"/>
    <w:rsid w:val="00C06A2A"/>
    <w:rsid w:val="00C06C03"/>
    <w:rsid w:val="00C07C5B"/>
    <w:rsid w:val="00C125A5"/>
    <w:rsid w:val="00C308D6"/>
    <w:rsid w:val="00C358BF"/>
    <w:rsid w:val="00C533AC"/>
    <w:rsid w:val="00C53953"/>
    <w:rsid w:val="00C53C57"/>
    <w:rsid w:val="00C53E35"/>
    <w:rsid w:val="00C56574"/>
    <w:rsid w:val="00C57AB4"/>
    <w:rsid w:val="00C71510"/>
    <w:rsid w:val="00C766EB"/>
    <w:rsid w:val="00C76A70"/>
    <w:rsid w:val="00C80727"/>
    <w:rsid w:val="00C82A5C"/>
    <w:rsid w:val="00C837E1"/>
    <w:rsid w:val="00C851AC"/>
    <w:rsid w:val="00C92082"/>
    <w:rsid w:val="00CA4158"/>
    <w:rsid w:val="00CA4427"/>
    <w:rsid w:val="00CA4446"/>
    <w:rsid w:val="00CB0164"/>
    <w:rsid w:val="00CB0EE4"/>
    <w:rsid w:val="00CB36EC"/>
    <w:rsid w:val="00CB6AA0"/>
    <w:rsid w:val="00CB7493"/>
    <w:rsid w:val="00CC5AA8"/>
    <w:rsid w:val="00CD191C"/>
    <w:rsid w:val="00CD3E3C"/>
    <w:rsid w:val="00CD6075"/>
    <w:rsid w:val="00CD69DB"/>
    <w:rsid w:val="00CD6A7A"/>
    <w:rsid w:val="00CE05A7"/>
    <w:rsid w:val="00CF1A6A"/>
    <w:rsid w:val="00CF6AB2"/>
    <w:rsid w:val="00D10EBB"/>
    <w:rsid w:val="00D12EBE"/>
    <w:rsid w:val="00D13EF4"/>
    <w:rsid w:val="00D15AB1"/>
    <w:rsid w:val="00D16936"/>
    <w:rsid w:val="00D237AA"/>
    <w:rsid w:val="00D27974"/>
    <w:rsid w:val="00D309FA"/>
    <w:rsid w:val="00D31E33"/>
    <w:rsid w:val="00D3450D"/>
    <w:rsid w:val="00D36592"/>
    <w:rsid w:val="00D421E3"/>
    <w:rsid w:val="00D511E9"/>
    <w:rsid w:val="00D5251E"/>
    <w:rsid w:val="00D5396C"/>
    <w:rsid w:val="00D615A2"/>
    <w:rsid w:val="00D77762"/>
    <w:rsid w:val="00D80CF0"/>
    <w:rsid w:val="00D928DE"/>
    <w:rsid w:val="00D9393E"/>
    <w:rsid w:val="00D93F15"/>
    <w:rsid w:val="00DA15CC"/>
    <w:rsid w:val="00DA616A"/>
    <w:rsid w:val="00DA6281"/>
    <w:rsid w:val="00DA6EF8"/>
    <w:rsid w:val="00DB160A"/>
    <w:rsid w:val="00DC0180"/>
    <w:rsid w:val="00DC30BB"/>
    <w:rsid w:val="00DC447E"/>
    <w:rsid w:val="00DC5A19"/>
    <w:rsid w:val="00DC7E29"/>
    <w:rsid w:val="00DD5D8D"/>
    <w:rsid w:val="00DE6ABA"/>
    <w:rsid w:val="00DE7726"/>
    <w:rsid w:val="00DF62D8"/>
    <w:rsid w:val="00DF661A"/>
    <w:rsid w:val="00E0031E"/>
    <w:rsid w:val="00E01E45"/>
    <w:rsid w:val="00E02927"/>
    <w:rsid w:val="00E06AB4"/>
    <w:rsid w:val="00E11137"/>
    <w:rsid w:val="00E12BDE"/>
    <w:rsid w:val="00E133FA"/>
    <w:rsid w:val="00E15189"/>
    <w:rsid w:val="00E1596D"/>
    <w:rsid w:val="00E178BF"/>
    <w:rsid w:val="00E21558"/>
    <w:rsid w:val="00E22B9F"/>
    <w:rsid w:val="00E23F0B"/>
    <w:rsid w:val="00E34863"/>
    <w:rsid w:val="00E37B8E"/>
    <w:rsid w:val="00E60843"/>
    <w:rsid w:val="00E656C9"/>
    <w:rsid w:val="00E7197A"/>
    <w:rsid w:val="00E7581F"/>
    <w:rsid w:val="00E762CF"/>
    <w:rsid w:val="00E84FA8"/>
    <w:rsid w:val="00E85B14"/>
    <w:rsid w:val="00E86457"/>
    <w:rsid w:val="00E8660D"/>
    <w:rsid w:val="00E92A13"/>
    <w:rsid w:val="00E94C91"/>
    <w:rsid w:val="00EB084F"/>
    <w:rsid w:val="00EB1150"/>
    <w:rsid w:val="00EB3664"/>
    <w:rsid w:val="00EB42EC"/>
    <w:rsid w:val="00EB5B7A"/>
    <w:rsid w:val="00EB69F4"/>
    <w:rsid w:val="00EC05C4"/>
    <w:rsid w:val="00EC0DDE"/>
    <w:rsid w:val="00EC47A6"/>
    <w:rsid w:val="00EC688E"/>
    <w:rsid w:val="00ED2455"/>
    <w:rsid w:val="00ED267C"/>
    <w:rsid w:val="00ED33A1"/>
    <w:rsid w:val="00ED3CF6"/>
    <w:rsid w:val="00ED410D"/>
    <w:rsid w:val="00ED6E88"/>
    <w:rsid w:val="00ED771C"/>
    <w:rsid w:val="00ED7CC4"/>
    <w:rsid w:val="00EE0630"/>
    <w:rsid w:val="00EE6750"/>
    <w:rsid w:val="00EE6FCC"/>
    <w:rsid w:val="00EE708A"/>
    <w:rsid w:val="00EF5FAB"/>
    <w:rsid w:val="00F005A5"/>
    <w:rsid w:val="00F00AE8"/>
    <w:rsid w:val="00F015EB"/>
    <w:rsid w:val="00F04DBC"/>
    <w:rsid w:val="00F0718A"/>
    <w:rsid w:val="00F103F3"/>
    <w:rsid w:val="00F104BF"/>
    <w:rsid w:val="00F1136B"/>
    <w:rsid w:val="00F11F2A"/>
    <w:rsid w:val="00F12FA3"/>
    <w:rsid w:val="00F148F5"/>
    <w:rsid w:val="00F24053"/>
    <w:rsid w:val="00F26D89"/>
    <w:rsid w:val="00F27275"/>
    <w:rsid w:val="00F30C82"/>
    <w:rsid w:val="00F327AE"/>
    <w:rsid w:val="00F36BC4"/>
    <w:rsid w:val="00F40508"/>
    <w:rsid w:val="00F40940"/>
    <w:rsid w:val="00F46458"/>
    <w:rsid w:val="00F507F2"/>
    <w:rsid w:val="00F54C87"/>
    <w:rsid w:val="00F55947"/>
    <w:rsid w:val="00F6015A"/>
    <w:rsid w:val="00F64409"/>
    <w:rsid w:val="00F66220"/>
    <w:rsid w:val="00F708D2"/>
    <w:rsid w:val="00F761EA"/>
    <w:rsid w:val="00F7786C"/>
    <w:rsid w:val="00F85CF8"/>
    <w:rsid w:val="00F939EA"/>
    <w:rsid w:val="00F93A03"/>
    <w:rsid w:val="00FA2039"/>
    <w:rsid w:val="00FA3ABF"/>
    <w:rsid w:val="00FB4B51"/>
    <w:rsid w:val="00FC2E69"/>
    <w:rsid w:val="00FD0585"/>
    <w:rsid w:val="00FD27DB"/>
    <w:rsid w:val="00FD4EF3"/>
    <w:rsid w:val="00FD6347"/>
    <w:rsid w:val="00FD724B"/>
    <w:rsid w:val="00FD7D5F"/>
    <w:rsid w:val="00FE3CA4"/>
    <w:rsid w:val="00FE4073"/>
    <w:rsid w:val="00FE53D1"/>
    <w:rsid w:val="00FE5C15"/>
    <w:rsid w:val="00FF02B1"/>
    <w:rsid w:val="00FF55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53AC0"/>
  <w15:docId w15:val="{1200922F-641E-4E45-97B1-EE5F34E8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774"/>
    <w:pPr>
      <w:spacing w:line="240" w:lineRule="auto"/>
    </w:pPr>
    <w:rPr>
      <w:rFonts w:ascii="Times New Roman" w:eastAsia="Times New Roman" w:hAnsi="Times New Roman" w:cs="Times New Roman"/>
      <w:sz w:val="24"/>
      <w:szCs w:val="24"/>
    </w:rPr>
  </w:style>
  <w:style w:type="paragraph" w:styleId="Heading1">
    <w:name w:val="heading 1"/>
    <w:aliases w:val="Main section heading"/>
    <w:basedOn w:val="Normal"/>
    <w:next w:val="Normal"/>
    <w:link w:val="Heading1Char"/>
    <w:uiPriority w:val="9"/>
    <w:qFormat/>
    <w:rsid w:val="002D0D5D"/>
    <w:pPr>
      <w:keepNext/>
      <w:keepLines/>
      <w:spacing w:before="240" w:line="276" w:lineRule="auto"/>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4F0D90"/>
    <w:pPr>
      <w:keepNext/>
      <w:keepLines/>
      <w:spacing w:before="40" w:line="276" w:lineRule="auto"/>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451553"/>
    <w:pPr>
      <w:keepNext/>
      <w:keepLines/>
      <w:spacing w:before="40" w:line="276" w:lineRule="auto"/>
      <w:outlineLvl w:val="2"/>
    </w:pPr>
    <w:rPr>
      <w:rFonts w:ascii="Arial" w:eastAsiaTheme="majorEastAsia" w:hAnsi="Arial" w:cstheme="majorBidi"/>
      <w:u w:val="single"/>
    </w:rPr>
  </w:style>
  <w:style w:type="paragraph" w:styleId="Heading4">
    <w:name w:val="heading 4"/>
    <w:basedOn w:val="Normal"/>
    <w:next w:val="Normal"/>
    <w:link w:val="Heading4Char"/>
    <w:uiPriority w:val="9"/>
    <w:unhideWhenUsed/>
    <w:qFormat/>
    <w:rsid w:val="00451553"/>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9C65E2"/>
    <w:pPr>
      <w:widowControl w:val="0"/>
      <w:suppressAutoHyphens/>
      <w:spacing w:line="240" w:lineRule="auto"/>
      <w:textAlignment w:val="baseline"/>
    </w:pPr>
    <w:rPr>
      <w:rFonts w:ascii="Times New Roman" w:eastAsia="Droid Sans Fallback" w:hAnsi="Times New Roman" w:cs="Lohit Hindi"/>
      <w:sz w:val="24"/>
      <w:szCs w:val="24"/>
      <w:lang w:eastAsia="zh-CN" w:bidi="hi-IN"/>
    </w:rPr>
  </w:style>
  <w:style w:type="character" w:customStyle="1" w:styleId="InternetLink">
    <w:name w:val="Internet Link"/>
    <w:basedOn w:val="DefaultParagraphFont"/>
    <w:uiPriority w:val="99"/>
    <w:semiHidden/>
    <w:unhideWhenUsed/>
    <w:rsid w:val="00B32EEC"/>
    <w:rPr>
      <w:color w:val="0000FF"/>
      <w:u w:val="single"/>
    </w:rPr>
  </w:style>
  <w:style w:type="character" w:customStyle="1" w:styleId="BalloonTextChar">
    <w:name w:val="Balloon Text Char"/>
    <w:basedOn w:val="DefaultParagraphFont"/>
    <w:link w:val="BalloonText"/>
    <w:uiPriority w:val="99"/>
    <w:semiHidden/>
    <w:rsid w:val="008E3D62"/>
    <w:rPr>
      <w:rFonts w:ascii="Tahoma" w:hAnsi="Tahoma" w:cs="Tahoma"/>
      <w:sz w:val="16"/>
      <w:szCs w:val="16"/>
    </w:rPr>
  </w:style>
  <w:style w:type="character" w:styleId="CommentReference">
    <w:name w:val="annotation reference"/>
    <w:basedOn w:val="DefaultParagraphFont"/>
    <w:uiPriority w:val="99"/>
    <w:semiHidden/>
    <w:unhideWhenUsed/>
    <w:rsid w:val="00F43F8A"/>
    <w:rPr>
      <w:sz w:val="16"/>
      <w:szCs w:val="16"/>
    </w:rPr>
  </w:style>
  <w:style w:type="character" w:customStyle="1" w:styleId="CommentTextChar">
    <w:name w:val="Comment Text Char"/>
    <w:basedOn w:val="DefaultParagraphFont"/>
    <w:link w:val="CommentText"/>
    <w:uiPriority w:val="99"/>
    <w:rsid w:val="00F43F8A"/>
    <w:rPr>
      <w:sz w:val="20"/>
      <w:szCs w:val="20"/>
    </w:rPr>
  </w:style>
  <w:style w:type="character" w:customStyle="1" w:styleId="CommentSubjectChar">
    <w:name w:val="Comment Subject Char"/>
    <w:basedOn w:val="CommentTextChar"/>
    <w:link w:val="CommentSubject"/>
    <w:uiPriority w:val="99"/>
    <w:semiHidden/>
    <w:rsid w:val="00F43F8A"/>
    <w:rPr>
      <w:b/>
      <w:bCs/>
      <w:sz w:val="20"/>
      <w:szCs w:val="20"/>
    </w:rPr>
  </w:style>
  <w:style w:type="paragraph" w:customStyle="1" w:styleId="Heading">
    <w:name w:val="Heading"/>
    <w:basedOn w:val="Normal1"/>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1"/>
    <w:pPr>
      <w:spacing w:after="140" w:line="288" w:lineRule="auto"/>
    </w:pPr>
  </w:style>
  <w:style w:type="paragraph" w:styleId="List">
    <w:name w:val="List"/>
    <w:basedOn w:val="TextBody"/>
    <w:rPr>
      <w:rFonts w:cs="Mangal"/>
    </w:rPr>
  </w:style>
  <w:style w:type="paragraph" w:styleId="Caption">
    <w:name w:val="caption"/>
    <w:basedOn w:val="Normal1"/>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styleId="BalloonText">
    <w:name w:val="Balloon Text"/>
    <w:basedOn w:val="Normal1"/>
    <w:link w:val="BalloonTextChar"/>
    <w:uiPriority w:val="99"/>
    <w:semiHidden/>
    <w:unhideWhenUsed/>
    <w:rsid w:val="008E3D62"/>
    <w:rPr>
      <w:rFonts w:ascii="Tahoma" w:hAnsi="Tahoma" w:cs="Tahoma"/>
      <w:sz w:val="16"/>
      <w:szCs w:val="16"/>
    </w:rPr>
  </w:style>
  <w:style w:type="paragraph" w:styleId="NormalWeb">
    <w:name w:val="Normal (Web)"/>
    <w:basedOn w:val="Normal1"/>
    <w:uiPriority w:val="99"/>
    <w:unhideWhenUsed/>
    <w:rsid w:val="002042B5"/>
    <w:pPr>
      <w:spacing w:after="280"/>
    </w:pPr>
    <w:rPr>
      <w:rFonts w:cs="Times New Roman"/>
      <w:lang w:eastAsia="en-GB"/>
    </w:rPr>
  </w:style>
  <w:style w:type="paragraph" w:styleId="CommentText">
    <w:name w:val="annotation text"/>
    <w:basedOn w:val="Normal1"/>
    <w:link w:val="CommentTextChar"/>
    <w:uiPriority w:val="99"/>
    <w:unhideWhenUsed/>
    <w:rsid w:val="00F43F8A"/>
    <w:rPr>
      <w:sz w:val="20"/>
      <w:szCs w:val="20"/>
    </w:rPr>
  </w:style>
  <w:style w:type="paragraph" w:styleId="CommentSubject">
    <w:name w:val="annotation subject"/>
    <w:basedOn w:val="CommentText"/>
    <w:link w:val="CommentSubjectChar"/>
    <w:uiPriority w:val="99"/>
    <w:semiHidden/>
    <w:unhideWhenUsed/>
    <w:rsid w:val="00F43F8A"/>
    <w:rPr>
      <w:b/>
      <w:bCs/>
    </w:rPr>
  </w:style>
  <w:style w:type="paragraph" w:customStyle="1" w:styleId="TableContents">
    <w:name w:val="Table Contents"/>
    <w:basedOn w:val="Normal1"/>
  </w:style>
  <w:style w:type="table" w:styleId="TableGrid">
    <w:name w:val="Table Grid"/>
    <w:basedOn w:val="TableNormal"/>
    <w:uiPriority w:val="59"/>
    <w:rsid w:val="00BD30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37B8E"/>
    <w:pPr>
      <w:spacing w:line="276" w:lineRule="auto"/>
      <w:jc w:val="center"/>
    </w:pPr>
    <w:rPr>
      <w:rFonts w:eastAsia="SimSun"/>
      <w:noProof/>
      <w:szCs w:val="22"/>
      <w:lang w:val="en-US"/>
    </w:rPr>
  </w:style>
  <w:style w:type="character" w:customStyle="1" w:styleId="Normal1Char">
    <w:name w:val="Normal1 Char"/>
    <w:basedOn w:val="DefaultParagraphFont"/>
    <w:link w:val="Normal1"/>
    <w:rsid w:val="00E37B8E"/>
    <w:rPr>
      <w:rFonts w:ascii="Times New Roman" w:eastAsia="Droid Sans Fallback" w:hAnsi="Times New Roman" w:cs="Lohit Hindi"/>
      <w:sz w:val="24"/>
      <w:szCs w:val="24"/>
      <w:lang w:eastAsia="zh-CN" w:bidi="hi-IN"/>
    </w:rPr>
  </w:style>
  <w:style w:type="character" w:customStyle="1" w:styleId="EndNoteBibliographyTitleChar">
    <w:name w:val="EndNote Bibliography Title Char"/>
    <w:basedOn w:val="Normal1Char"/>
    <w:link w:val="EndNoteBibliographyTitle"/>
    <w:rsid w:val="00E37B8E"/>
    <w:rPr>
      <w:rFonts w:ascii="Times New Roman" w:eastAsia="Droid Sans Fallback" w:hAnsi="Times New Roman" w:cs="Times New Roman"/>
      <w:noProof/>
      <w:sz w:val="24"/>
      <w:szCs w:val="24"/>
      <w:lang w:val="en-US" w:eastAsia="zh-CN" w:bidi="hi-IN"/>
    </w:rPr>
  </w:style>
  <w:style w:type="paragraph" w:customStyle="1" w:styleId="EndNoteBibliography">
    <w:name w:val="EndNote Bibliography"/>
    <w:basedOn w:val="Normal"/>
    <w:link w:val="EndNoteBibliographyChar"/>
    <w:rsid w:val="00E37B8E"/>
    <w:rPr>
      <w:rFonts w:eastAsia="SimSun"/>
      <w:noProof/>
      <w:szCs w:val="22"/>
      <w:lang w:val="en-US"/>
    </w:rPr>
  </w:style>
  <w:style w:type="character" w:customStyle="1" w:styleId="EndNoteBibliographyChar">
    <w:name w:val="EndNote Bibliography Char"/>
    <w:basedOn w:val="Normal1Char"/>
    <w:link w:val="EndNoteBibliography"/>
    <w:rsid w:val="00E37B8E"/>
    <w:rPr>
      <w:rFonts w:ascii="Times New Roman" w:eastAsia="Droid Sans Fallback" w:hAnsi="Times New Roman" w:cs="Times New Roman"/>
      <w:noProof/>
      <w:sz w:val="24"/>
      <w:szCs w:val="24"/>
      <w:lang w:val="en-US" w:eastAsia="zh-CN" w:bidi="hi-IN"/>
    </w:rPr>
  </w:style>
  <w:style w:type="character" w:styleId="Hyperlink">
    <w:name w:val="Hyperlink"/>
    <w:basedOn w:val="DefaultParagraphFont"/>
    <w:uiPriority w:val="99"/>
    <w:unhideWhenUsed/>
    <w:rsid w:val="000E0DDE"/>
    <w:rPr>
      <w:color w:val="0000FF" w:themeColor="hyperlink"/>
      <w:u w:val="single"/>
    </w:rPr>
  </w:style>
  <w:style w:type="paragraph" w:styleId="Header">
    <w:name w:val="header"/>
    <w:basedOn w:val="Normal"/>
    <w:link w:val="HeaderChar"/>
    <w:uiPriority w:val="99"/>
    <w:unhideWhenUsed/>
    <w:rsid w:val="002E69D3"/>
    <w:pPr>
      <w:tabs>
        <w:tab w:val="center" w:pos="4513"/>
        <w:tab w:val="right" w:pos="9026"/>
      </w:tabs>
    </w:pPr>
    <w:rPr>
      <w:rFonts w:ascii="Calibri" w:eastAsia="SimSun" w:hAnsi="Calibri" w:cs="Calibri"/>
      <w:sz w:val="22"/>
      <w:szCs w:val="22"/>
    </w:rPr>
  </w:style>
  <w:style w:type="character" w:customStyle="1" w:styleId="HeaderChar">
    <w:name w:val="Header Char"/>
    <w:basedOn w:val="DefaultParagraphFont"/>
    <w:link w:val="Header"/>
    <w:uiPriority w:val="99"/>
    <w:rsid w:val="002E69D3"/>
  </w:style>
  <w:style w:type="paragraph" w:styleId="Footer">
    <w:name w:val="footer"/>
    <w:basedOn w:val="Normal"/>
    <w:link w:val="FooterChar"/>
    <w:uiPriority w:val="99"/>
    <w:unhideWhenUsed/>
    <w:rsid w:val="002E69D3"/>
    <w:pPr>
      <w:tabs>
        <w:tab w:val="center" w:pos="4513"/>
        <w:tab w:val="right" w:pos="9026"/>
      </w:tabs>
    </w:pPr>
    <w:rPr>
      <w:rFonts w:ascii="Calibri" w:eastAsia="SimSun" w:hAnsi="Calibri" w:cs="Calibri"/>
      <w:sz w:val="22"/>
      <w:szCs w:val="22"/>
    </w:rPr>
  </w:style>
  <w:style w:type="character" w:customStyle="1" w:styleId="FooterChar">
    <w:name w:val="Footer Char"/>
    <w:basedOn w:val="DefaultParagraphFont"/>
    <w:link w:val="Footer"/>
    <w:uiPriority w:val="99"/>
    <w:rsid w:val="002E69D3"/>
  </w:style>
  <w:style w:type="character" w:styleId="Strong">
    <w:name w:val="Strong"/>
    <w:basedOn w:val="DefaultParagraphFont"/>
    <w:uiPriority w:val="22"/>
    <w:qFormat/>
    <w:rsid w:val="00A61501"/>
    <w:rPr>
      <w:b/>
      <w:bCs/>
    </w:rPr>
  </w:style>
  <w:style w:type="character" w:styleId="Emphasis">
    <w:name w:val="Emphasis"/>
    <w:basedOn w:val="DefaultParagraphFont"/>
    <w:uiPriority w:val="20"/>
    <w:qFormat/>
    <w:rsid w:val="0001447A"/>
    <w:rPr>
      <w:b/>
      <w:bCs/>
      <w:i w:val="0"/>
      <w:iCs w:val="0"/>
    </w:rPr>
  </w:style>
  <w:style w:type="paragraph" w:customStyle="1" w:styleId="Default">
    <w:name w:val="Default"/>
    <w:rsid w:val="000A1A12"/>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aliases w:val="Main section heading Char"/>
    <w:basedOn w:val="DefaultParagraphFont"/>
    <w:link w:val="Heading1"/>
    <w:uiPriority w:val="9"/>
    <w:rsid w:val="002D0D5D"/>
    <w:rPr>
      <w:rFonts w:ascii="Arial" w:eastAsiaTheme="majorEastAsia" w:hAnsi="Arial" w:cstheme="majorBidi"/>
      <w:b/>
      <w:sz w:val="24"/>
      <w:szCs w:val="32"/>
      <w:u w:val="single"/>
    </w:rPr>
  </w:style>
  <w:style w:type="paragraph" w:styleId="Title">
    <w:name w:val="Title"/>
    <w:aliases w:val="Main subsections"/>
    <w:basedOn w:val="Normal"/>
    <w:next w:val="Normal"/>
    <w:link w:val="TitleChar"/>
    <w:uiPriority w:val="10"/>
    <w:qFormat/>
    <w:rsid w:val="002D0D5D"/>
    <w:pPr>
      <w:contextualSpacing/>
    </w:pPr>
    <w:rPr>
      <w:rFonts w:ascii="Arial" w:eastAsiaTheme="majorEastAsia" w:hAnsi="Arial" w:cstheme="majorBidi"/>
      <w:b/>
      <w:spacing w:val="-10"/>
      <w:kern w:val="28"/>
      <w:szCs w:val="56"/>
    </w:rPr>
  </w:style>
  <w:style w:type="character" w:customStyle="1" w:styleId="TitleChar">
    <w:name w:val="Title Char"/>
    <w:aliases w:val="Main subsections Char"/>
    <w:basedOn w:val="DefaultParagraphFont"/>
    <w:link w:val="Title"/>
    <w:uiPriority w:val="10"/>
    <w:rsid w:val="002D0D5D"/>
    <w:rPr>
      <w:rFonts w:ascii="Arial" w:eastAsiaTheme="majorEastAsia" w:hAnsi="Arial" w:cstheme="majorBidi"/>
      <w:b/>
      <w:spacing w:val="-10"/>
      <w:kern w:val="28"/>
      <w:sz w:val="24"/>
      <w:szCs w:val="56"/>
    </w:rPr>
  </w:style>
  <w:style w:type="character" w:customStyle="1" w:styleId="Heading2Char">
    <w:name w:val="Heading 2 Char"/>
    <w:basedOn w:val="DefaultParagraphFont"/>
    <w:link w:val="Heading2"/>
    <w:uiPriority w:val="9"/>
    <w:rsid w:val="004F0D9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451553"/>
    <w:rPr>
      <w:rFonts w:ascii="Arial" w:eastAsiaTheme="majorEastAsia" w:hAnsi="Arial" w:cstheme="majorBidi"/>
      <w:sz w:val="24"/>
      <w:szCs w:val="24"/>
      <w:u w:val="single"/>
    </w:rPr>
  </w:style>
  <w:style w:type="character" w:customStyle="1" w:styleId="Heading4Char">
    <w:name w:val="Heading 4 Char"/>
    <w:basedOn w:val="DefaultParagraphFont"/>
    <w:link w:val="Heading4"/>
    <w:uiPriority w:val="9"/>
    <w:rsid w:val="00451553"/>
    <w:rPr>
      <w:rFonts w:asciiTheme="majorHAnsi" w:eastAsiaTheme="majorEastAsia" w:hAnsiTheme="majorHAnsi" w:cstheme="majorBidi"/>
      <w:i/>
      <w:iCs/>
      <w:color w:val="365F91" w:themeColor="accent1" w:themeShade="BF"/>
    </w:rPr>
  </w:style>
  <w:style w:type="character" w:customStyle="1" w:styleId="st1">
    <w:name w:val="st1"/>
    <w:basedOn w:val="DefaultParagraphFont"/>
    <w:rsid w:val="00CB0164"/>
  </w:style>
  <w:style w:type="paragraph" w:styleId="ListParagraph">
    <w:name w:val="List Paragraph"/>
    <w:basedOn w:val="Normal"/>
    <w:uiPriority w:val="34"/>
    <w:qFormat/>
    <w:rsid w:val="00E01E45"/>
    <w:pPr>
      <w:spacing w:line="276" w:lineRule="auto"/>
      <w:ind w:left="720"/>
      <w:contextualSpacing/>
    </w:pPr>
    <w:rPr>
      <w:rFonts w:ascii="Calibri" w:eastAsia="SimSun" w:hAnsi="Calibri" w:cs="Calibri"/>
      <w:sz w:val="22"/>
      <w:szCs w:val="22"/>
    </w:rPr>
  </w:style>
  <w:style w:type="character" w:customStyle="1" w:styleId="apple-converted-space">
    <w:name w:val="apple-converted-space"/>
    <w:basedOn w:val="DefaultParagraphFont"/>
    <w:rsid w:val="005871B6"/>
  </w:style>
  <w:style w:type="character" w:styleId="PlaceholderText">
    <w:name w:val="Placeholder Text"/>
    <w:basedOn w:val="DefaultParagraphFont"/>
    <w:uiPriority w:val="99"/>
    <w:semiHidden/>
    <w:rsid w:val="00595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412">
      <w:bodyDiv w:val="1"/>
      <w:marLeft w:val="0"/>
      <w:marRight w:val="0"/>
      <w:marTop w:val="0"/>
      <w:marBottom w:val="0"/>
      <w:divBdr>
        <w:top w:val="none" w:sz="0" w:space="0" w:color="auto"/>
        <w:left w:val="none" w:sz="0" w:space="0" w:color="auto"/>
        <w:bottom w:val="none" w:sz="0" w:space="0" w:color="auto"/>
        <w:right w:val="none" w:sz="0" w:space="0" w:color="auto"/>
      </w:divBdr>
    </w:div>
    <w:div w:id="105544380">
      <w:bodyDiv w:val="1"/>
      <w:marLeft w:val="0"/>
      <w:marRight w:val="0"/>
      <w:marTop w:val="0"/>
      <w:marBottom w:val="0"/>
      <w:divBdr>
        <w:top w:val="none" w:sz="0" w:space="0" w:color="auto"/>
        <w:left w:val="none" w:sz="0" w:space="0" w:color="auto"/>
        <w:bottom w:val="none" w:sz="0" w:space="0" w:color="auto"/>
        <w:right w:val="none" w:sz="0" w:space="0" w:color="auto"/>
      </w:divBdr>
    </w:div>
    <w:div w:id="242682922">
      <w:bodyDiv w:val="1"/>
      <w:marLeft w:val="0"/>
      <w:marRight w:val="0"/>
      <w:marTop w:val="0"/>
      <w:marBottom w:val="0"/>
      <w:divBdr>
        <w:top w:val="none" w:sz="0" w:space="0" w:color="auto"/>
        <w:left w:val="none" w:sz="0" w:space="0" w:color="auto"/>
        <w:bottom w:val="none" w:sz="0" w:space="0" w:color="auto"/>
        <w:right w:val="none" w:sz="0" w:space="0" w:color="auto"/>
      </w:divBdr>
      <w:divsChild>
        <w:div w:id="1150560873">
          <w:marLeft w:val="0"/>
          <w:marRight w:val="0"/>
          <w:marTop w:val="0"/>
          <w:marBottom w:val="0"/>
          <w:divBdr>
            <w:top w:val="none" w:sz="0" w:space="0" w:color="auto"/>
            <w:left w:val="none" w:sz="0" w:space="0" w:color="auto"/>
            <w:bottom w:val="none" w:sz="0" w:space="0" w:color="auto"/>
            <w:right w:val="none" w:sz="0" w:space="0" w:color="auto"/>
          </w:divBdr>
          <w:divsChild>
            <w:div w:id="814109250">
              <w:marLeft w:val="0"/>
              <w:marRight w:val="0"/>
              <w:marTop w:val="0"/>
              <w:marBottom w:val="0"/>
              <w:divBdr>
                <w:top w:val="none" w:sz="0" w:space="0" w:color="auto"/>
                <w:left w:val="none" w:sz="0" w:space="0" w:color="auto"/>
                <w:bottom w:val="none" w:sz="0" w:space="0" w:color="auto"/>
                <w:right w:val="none" w:sz="0" w:space="0" w:color="auto"/>
              </w:divBdr>
              <w:divsChild>
                <w:div w:id="18408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0348">
      <w:bodyDiv w:val="1"/>
      <w:marLeft w:val="0"/>
      <w:marRight w:val="0"/>
      <w:marTop w:val="0"/>
      <w:marBottom w:val="0"/>
      <w:divBdr>
        <w:top w:val="none" w:sz="0" w:space="0" w:color="auto"/>
        <w:left w:val="none" w:sz="0" w:space="0" w:color="auto"/>
        <w:bottom w:val="none" w:sz="0" w:space="0" w:color="auto"/>
        <w:right w:val="none" w:sz="0" w:space="0" w:color="auto"/>
      </w:divBdr>
    </w:div>
    <w:div w:id="585697339">
      <w:bodyDiv w:val="1"/>
      <w:marLeft w:val="0"/>
      <w:marRight w:val="0"/>
      <w:marTop w:val="0"/>
      <w:marBottom w:val="0"/>
      <w:divBdr>
        <w:top w:val="none" w:sz="0" w:space="0" w:color="auto"/>
        <w:left w:val="none" w:sz="0" w:space="0" w:color="auto"/>
        <w:bottom w:val="none" w:sz="0" w:space="0" w:color="auto"/>
        <w:right w:val="none" w:sz="0" w:space="0" w:color="auto"/>
      </w:divBdr>
    </w:div>
    <w:div w:id="596913624">
      <w:bodyDiv w:val="1"/>
      <w:marLeft w:val="0"/>
      <w:marRight w:val="0"/>
      <w:marTop w:val="0"/>
      <w:marBottom w:val="0"/>
      <w:divBdr>
        <w:top w:val="none" w:sz="0" w:space="0" w:color="auto"/>
        <w:left w:val="none" w:sz="0" w:space="0" w:color="auto"/>
        <w:bottom w:val="none" w:sz="0" w:space="0" w:color="auto"/>
        <w:right w:val="none" w:sz="0" w:space="0" w:color="auto"/>
      </w:divBdr>
    </w:div>
    <w:div w:id="600600754">
      <w:bodyDiv w:val="1"/>
      <w:marLeft w:val="0"/>
      <w:marRight w:val="0"/>
      <w:marTop w:val="0"/>
      <w:marBottom w:val="1500"/>
      <w:divBdr>
        <w:top w:val="none" w:sz="0" w:space="0" w:color="auto"/>
        <w:left w:val="none" w:sz="0" w:space="0" w:color="auto"/>
        <w:bottom w:val="none" w:sz="0" w:space="0" w:color="auto"/>
        <w:right w:val="none" w:sz="0" w:space="0" w:color="auto"/>
      </w:divBdr>
      <w:divsChild>
        <w:div w:id="2127657199">
          <w:marLeft w:val="0"/>
          <w:marRight w:val="0"/>
          <w:marTop w:val="0"/>
          <w:marBottom w:val="0"/>
          <w:divBdr>
            <w:top w:val="none" w:sz="0" w:space="0" w:color="auto"/>
            <w:left w:val="none" w:sz="0" w:space="0" w:color="auto"/>
            <w:bottom w:val="none" w:sz="0" w:space="0" w:color="auto"/>
            <w:right w:val="none" w:sz="0" w:space="0" w:color="auto"/>
          </w:divBdr>
          <w:divsChild>
            <w:div w:id="494415625">
              <w:marLeft w:val="0"/>
              <w:marRight w:val="0"/>
              <w:marTop w:val="0"/>
              <w:marBottom w:val="0"/>
              <w:divBdr>
                <w:top w:val="none" w:sz="0" w:space="0" w:color="auto"/>
                <w:left w:val="none" w:sz="0" w:space="0" w:color="auto"/>
                <w:bottom w:val="none" w:sz="0" w:space="0" w:color="auto"/>
                <w:right w:val="none" w:sz="0" w:space="0" w:color="auto"/>
              </w:divBdr>
              <w:divsChild>
                <w:div w:id="578949362">
                  <w:marLeft w:val="30"/>
                  <w:marRight w:val="-100"/>
                  <w:marTop w:val="225"/>
                  <w:marBottom w:val="225"/>
                  <w:divBdr>
                    <w:top w:val="none" w:sz="0" w:space="0" w:color="auto"/>
                    <w:left w:val="none" w:sz="0" w:space="0" w:color="auto"/>
                    <w:bottom w:val="none" w:sz="0" w:space="0" w:color="auto"/>
                    <w:right w:val="none" w:sz="0" w:space="0" w:color="auto"/>
                  </w:divBdr>
                  <w:divsChild>
                    <w:div w:id="988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1749">
      <w:bodyDiv w:val="1"/>
      <w:marLeft w:val="0"/>
      <w:marRight w:val="0"/>
      <w:marTop w:val="0"/>
      <w:marBottom w:val="0"/>
      <w:divBdr>
        <w:top w:val="none" w:sz="0" w:space="0" w:color="auto"/>
        <w:left w:val="none" w:sz="0" w:space="0" w:color="auto"/>
        <w:bottom w:val="none" w:sz="0" w:space="0" w:color="auto"/>
        <w:right w:val="none" w:sz="0" w:space="0" w:color="auto"/>
      </w:divBdr>
    </w:div>
    <w:div w:id="756630275">
      <w:bodyDiv w:val="1"/>
      <w:marLeft w:val="0"/>
      <w:marRight w:val="0"/>
      <w:marTop w:val="0"/>
      <w:marBottom w:val="0"/>
      <w:divBdr>
        <w:top w:val="none" w:sz="0" w:space="0" w:color="auto"/>
        <w:left w:val="none" w:sz="0" w:space="0" w:color="auto"/>
        <w:bottom w:val="none" w:sz="0" w:space="0" w:color="auto"/>
        <w:right w:val="none" w:sz="0" w:space="0" w:color="auto"/>
      </w:divBdr>
    </w:div>
    <w:div w:id="758405591">
      <w:bodyDiv w:val="1"/>
      <w:marLeft w:val="0"/>
      <w:marRight w:val="0"/>
      <w:marTop w:val="0"/>
      <w:marBottom w:val="0"/>
      <w:divBdr>
        <w:top w:val="none" w:sz="0" w:space="0" w:color="auto"/>
        <w:left w:val="none" w:sz="0" w:space="0" w:color="auto"/>
        <w:bottom w:val="none" w:sz="0" w:space="0" w:color="auto"/>
        <w:right w:val="none" w:sz="0" w:space="0" w:color="auto"/>
      </w:divBdr>
    </w:div>
    <w:div w:id="922682253">
      <w:bodyDiv w:val="1"/>
      <w:marLeft w:val="0"/>
      <w:marRight w:val="0"/>
      <w:marTop w:val="0"/>
      <w:marBottom w:val="0"/>
      <w:divBdr>
        <w:top w:val="none" w:sz="0" w:space="0" w:color="auto"/>
        <w:left w:val="none" w:sz="0" w:space="0" w:color="auto"/>
        <w:bottom w:val="none" w:sz="0" w:space="0" w:color="auto"/>
        <w:right w:val="none" w:sz="0" w:space="0" w:color="auto"/>
      </w:divBdr>
    </w:div>
    <w:div w:id="1288244934">
      <w:bodyDiv w:val="1"/>
      <w:marLeft w:val="0"/>
      <w:marRight w:val="0"/>
      <w:marTop w:val="0"/>
      <w:marBottom w:val="0"/>
      <w:divBdr>
        <w:top w:val="none" w:sz="0" w:space="0" w:color="auto"/>
        <w:left w:val="none" w:sz="0" w:space="0" w:color="auto"/>
        <w:bottom w:val="none" w:sz="0" w:space="0" w:color="auto"/>
        <w:right w:val="none" w:sz="0" w:space="0" w:color="auto"/>
      </w:divBdr>
    </w:div>
    <w:div w:id="1306812459">
      <w:bodyDiv w:val="1"/>
      <w:marLeft w:val="0"/>
      <w:marRight w:val="0"/>
      <w:marTop w:val="0"/>
      <w:marBottom w:val="0"/>
      <w:divBdr>
        <w:top w:val="none" w:sz="0" w:space="0" w:color="auto"/>
        <w:left w:val="none" w:sz="0" w:space="0" w:color="auto"/>
        <w:bottom w:val="none" w:sz="0" w:space="0" w:color="auto"/>
        <w:right w:val="none" w:sz="0" w:space="0" w:color="auto"/>
      </w:divBdr>
    </w:div>
    <w:div w:id="1470901308">
      <w:bodyDiv w:val="1"/>
      <w:marLeft w:val="0"/>
      <w:marRight w:val="0"/>
      <w:marTop w:val="0"/>
      <w:marBottom w:val="0"/>
      <w:divBdr>
        <w:top w:val="none" w:sz="0" w:space="0" w:color="auto"/>
        <w:left w:val="none" w:sz="0" w:space="0" w:color="auto"/>
        <w:bottom w:val="none" w:sz="0" w:space="0" w:color="auto"/>
        <w:right w:val="none" w:sz="0" w:space="0" w:color="auto"/>
      </w:divBdr>
    </w:div>
    <w:div w:id="1478305900">
      <w:bodyDiv w:val="1"/>
      <w:marLeft w:val="0"/>
      <w:marRight w:val="0"/>
      <w:marTop w:val="0"/>
      <w:marBottom w:val="0"/>
      <w:divBdr>
        <w:top w:val="none" w:sz="0" w:space="0" w:color="auto"/>
        <w:left w:val="none" w:sz="0" w:space="0" w:color="auto"/>
        <w:bottom w:val="none" w:sz="0" w:space="0" w:color="auto"/>
        <w:right w:val="none" w:sz="0" w:space="0" w:color="auto"/>
      </w:divBdr>
    </w:div>
    <w:div w:id="1538155311">
      <w:bodyDiv w:val="1"/>
      <w:marLeft w:val="0"/>
      <w:marRight w:val="0"/>
      <w:marTop w:val="0"/>
      <w:marBottom w:val="0"/>
      <w:divBdr>
        <w:top w:val="none" w:sz="0" w:space="0" w:color="auto"/>
        <w:left w:val="none" w:sz="0" w:space="0" w:color="auto"/>
        <w:bottom w:val="none" w:sz="0" w:space="0" w:color="auto"/>
        <w:right w:val="none" w:sz="0" w:space="0" w:color="auto"/>
      </w:divBdr>
    </w:div>
    <w:div w:id="1582837173">
      <w:bodyDiv w:val="1"/>
      <w:marLeft w:val="0"/>
      <w:marRight w:val="0"/>
      <w:marTop w:val="0"/>
      <w:marBottom w:val="0"/>
      <w:divBdr>
        <w:top w:val="none" w:sz="0" w:space="0" w:color="auto"/>
        <w:left w:val="none" w:sz="0" w:space="0" w:color="auto"/>
        <w:bottom w:val="none" w:sz="0" w:space="0" w:color="auto"/>
        <w:right w:val="none" w:sz="0" w:space="0" w:color="auto"/>
      </w:divBdr>
    </w:div>
    <w:div w:id="1887796951">
      <w:bodyDiv w:val="1"/>
      <w:marLeft w:val="0"/>
      <w:marRight w:val="0"/>
      <w:marTop w:val="0"/>
      <w:marBottom w:val="0"/>
      <w:divBdr>
        <w:top w:val="none" w:sz="0" w:space="0" w:color="auto"/>
        <w:left w:val="none" w:sz="0" w:space="0" w:color="auto"/>
        <w:bottom w:val="none" w:sz="0" w:space="0" w:color="auto"/>
        <w:right w:val="none" w:sz="0" w:space="0" w:color="auto"/>
      </w:divBdr>
    </w:div>
    <w:div w:id="196650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194F-A1EE-3244-AC06-D2202EDD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8007</Words>
  <Characters>45645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Dunan Young</dc:creator>
  <cp:lastModifiedBy>Marco Pimentel</cp:lastModifiedBy>
  <cp:revision>21</cp:revision>
  <cp:lastPrinted>2017-08-29T14:00:00Z</cp:lastPrinted>
  <dcterms:created xsi:type="dcterms:W3CDTF">2020-07-04T16:39:00Z</dcterms:created>
  <dcterms:modified xsi:type="dcterms:W3CDTF">2020-08-10T14:30:00Z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http://www.zotero.org/styles/american-journal-of-respiratory-and-critical-care-medicine</vt:lpwstr>
  </property>
  <property fmtid="{D5CDD505-2E9C-101B-9397-08002B2CF9AE}" pid="3" name="Mendeley Recent Style Name 0_1">
    <vt:lpwstr>American Journal of Respiratory and Critical Care Medicine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http://www.zotero.org/styles/critical-care-medicine</vt:lpwstr>
  </property>
  <property fmtid="{D5CDD505-2E9C-101B-9397-08002B2CF9AE}" pid="11" name="Mendeley Recent Style Name 4_1">
    <vt:lpwstr>Critical Care Medicine</vt:lpwstr>
  </property>
  <property fmtid="{D5CDD505-2E9C-101B-9397-08002B2CF9AE}" pid="12" name="Mendeley Recent Style Id 5_1">
    <vt:lpwstr>http://csl.mendeley.com/styles/526101641/critical-care-medicine</vt:lpwstr>
  </property>
  <property fmtid="{D5CDD505-2E9C-101B-9397-08002B2CF9AE}" pid="13" name="Mendeley Recent Style Name 5_1">
    <vt:lpwstr>Critical Care Medicine - Marco Pimentel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7f7e6422-e360-3490-b545-ed1b837897b5</vt:lpwstr>
  </property>
  <property fmtid="{D5CDD505-2E9C-101B-9397-08002B2CF9AE}" pid="24" name="Mendeley Citation Style_1">
    <vt:lpwstr>http://csl.mendeley.com/styles/526101641/critical-care-medicine</vt:lpwstr>
  </property>
</Properties>
</file>