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EC0" w14:textId="77777777" w:rsidR="0072454B" w:rsidRPr="0072454B" w:rsidRDefault="0072454B" w:rsidP="0072454B">
      <w:pPr>
        <w:autoSpaceDE w:val="0"/>
        <w:autoSpaceDN w:val="0"/>
        <w:adjustRightInd w:val="0"/>
        <w:spacing w:after="0" w:line="240" w:lineRule="auto"/>
      </w:pPr>
      <w:r w:rsidRPr="0072454B">
        <w:t>Table 1. Specific humidity, S, g/kg moist air, in Winter and Summer, and the isotopic compositions (</w:t>
      </w:r>
      <w:r w:rsidRPr="0072454B">
        <w:rPr>
          <w:rFonts w:ascii="Symbol" w:hAnsi="Symbol"/>
        </w:rPr>
        <w:t>d</w:t>
      </w:r>
      <w:r w:rsidRPr="0072454B">
        <w:rPr>
          <w:vertAlign w:val="superscript"/>
        </w:rPr>
        <w:t>18</w:t>
      </w:r>
      <w:r w:rsidRPr="0072454B">
        <w:t xml:space="preserve">O, </w:t>
      </w:r>
      <w:r w:rsidRPr="0072454B">
        <w:rPr>
          <w:rFonts w:ascii="Symbol" w:hAnsi="Symbol"/>
        </w:rPr>
        <w:t>d</w:t>
      </w:r>
      <w:r w:rsidRPr="0072454B">
        <w:rPr>
          <w:vertAlign w:val="superscript"/>
        </w:rPr>
        <w:t>2</w:t>
      </w:r>
      <w:r w:rsidRPr="0072454B">
        <w:t xml:space="preserve">H, and d-excess/V-SMOW‰) of the three atmospheric vapor sources we refer to in this study. The S value in Summertime is higher than in Winter for these three vapor origins, respectively, in response to the significant increase in the total S values in the local air masses downtown Cairo in the hot season and primarily controlled by the </w:t>
      </w:r>
      <w:r w:rsidRPr="0072454B">
        <w:rPr>
          <w:rFonts w:ascii="Symbol" w:hAnsi="Symbol"/>
        </w:rPr>
        <w:t>d</w:t>
      </w:r>
      <w:r w:rsidRPr="0072454B">
        <w:rPr>
          <w:vertAlign w:val="superscript"/>
        </w:rPr>
        <w:t>18</w:t>
      </w:r>
      <w:r w:rsidRPr="0072454B">
        <w:t xml:space="preserve">O-S AVMs' data-points. In the first approximation, the isotopic compositions of the three vapor sources do not change over the year; otherwise, we should have used different isotopic contents for the three vapor sources in Winter and Summer. However, the use of nonidentical isotope ratios for the two seasons needs evidence, support, and justification. Such a piece of evidence is, at present, entirely lacking. The used isotopic signatures of the three moisture origins were to get through a fine adjustment of the </w:t>
      </w:r>
      <w:r w:rsidRPr="0072454B">
        <w:rPr>
          <w:lang w:bidi="ar-EG"/>
        </w:rPr>
        <w:t>CLAW</w:t>
      </w:r>
      <w:r w:rsidRPr="0072454B">
        <w:t xml:space="preserve"> curvilinear wedge framework that encloses the AVMs data-points, Fig 21. We made such an adjustment using the constraints imposed on the especial Macro running SIMAM model, and by checking that the use of these isotopic compositions, and their corresponding S values, in Winter and Summertime, for the three vapor origins, will never produce &lt;0 or &gt;100% contribution for any of these vapor origins in the data-points of all AVMs.</w:t>
      </w:r>
    </w:p>
    <w:p w14:paraId="1508EA8B" w14:textId="77777777" w:rsidR="0072454B" w:rsidRPr="0072454B" w:rsidRDefault="0072454B" w:rsidP="0072454B">
      <w:pPr>
        <w:autoSpaceDE w:val="0"/>
        <w:autoSpaceDN w:val="0"/>
        <w:adjustRightInd w:val="0"/>
        <w:spacing w:after="0" w:line="240" w:lineRule="auto"/>
        <w:rPr>
          <w:rFonts w:ascii="MS Shell Dlg 2" w:hAnsi="MS Shell Dlg 2" w:cs="MS Shell Dlg 2"/>
          <w:sz w:val="17"/>
          <w:szCs w:val="17"/>
        </w:rPr>
      </w:pPr>
    </w:p>
    <w:p w14:paraId="121A9238" w14:textId="77777777" w:rsidR="0072454B" w:rsidRPr="0072454B" w:rsidRDefault="0072454B" w:rsidP="0072454B">
      <w:pPr>
        <w:spacing w:after="0"/>
        <w:ind w:right="566"/>
        <w:jc w:val="center"/>
      </w:pPr>
      <w:r w:rsidRPr="0072454B">
        <w:rPr>
          <w:noProof/>
        </w:rPr>
        <w:drawing>
          <wp:inline distT="0" distB="0" distL="0" distR="0" wp14:anchorId="3C073D27" wp14:editId="7CC1DDB3">
            <wp:extent cx="5317200" cy="124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17200" cy="1245600"/>
                    </a:xfrm>
                    <a:prstGeom prst="rect">
                      <a:avLst/>
                    </a:prstGeom>
                  </pic:spPr>
                </pic:pic>
              </a:graphicData>
            </a:graphic>
          </wp:inline>
        </w:drawing>
      </w:r>
    </w:p>
    <w:p w14:paraId="206818E8" w14:textId="77777777" w:rsidR="0072454B" w:rsidRPr="0072454B" w:rsidRDefault="0072454B" w:rsidP="0072454B">
      <w:pPr>
        <w:spacing w:after="0"/>
        <w:ind w:right="-448"/>
        <w:jc w:val="center"/>
      </w:pPr>
    </w:p>
    <w:p w14:paraId="5490365A" w14:textId="77777777" w:rsidR="0072454B" w:rsidRPr="0072454B" w:rsidRDefault="0072454B" w:rsidP="0072454B">
      <w:pPr>
        <w:tabs>
          <w:tab w:val="decimal" w:pos="284"/>
          <w:tab w:val="decimal" w:pos="567"/>
          <w:tab w:val="decimal" w:pos="851"/>
          <w:tab w:val="decimal" w:pos="993"/>
          <w:tab w:val="right" w:pos="1418"/>
          <w:tab w:val="right" w:pos="1701"/>
          <w:tab w:val="right" w:pos="1985"/>
          <w:tab w:val="right" w:pos="2268"/>
          <w:tab w:val="right" w:pos="2552"/>
          <w:tab w:val="right" w:pos="2835"/>
          <w:tab w:val="right" w:pos="3119"/>
        </w:tabs>
        <w:autoSpaceDE w:val="0"/>
        <w:autoSpaceDN w:val="0"/>
        <w:adjustRightInd w:val="0"/>
        <w:spacing w:after="0" w:line="240" w:lineRule="auto"/>
        <w:ind w:right="-448"/>
        <w:rPr>
          <w:rFonts w:ascii="MS Shell Dlg 2" w:hAnsi="MS Shell Dlg 2" w:cs="MS Shell Dlg 2"/>
        </w:rPr>
      </w:pPr>
      <w:r w:rsidRPr="0072454B">
        <w:tab/>
      </w:r>
      <w:bookmarkStart w:id="0" w:name="OLE_LINK1"/>
      <w:bookmarkStart w:id="1" w:name="OLE_LINK2"/>
      <w:bookmarkStart w:id="2" w:name="OLE_LINK3"/>
      <w:r w:rsidRPr="0072454B">
        <w:t>2.50</w:t>
      </w:r>
      <w:r w:rsidRPr="0072454B">
        <w:tab/>
      </w:r>
      <w:r w:rsidRPr="0072454B">
        <w:tab/>
      </w:r>
      <w:r w:rsidRPr="0072454B">
        <w:rPr>
          <w:rFonts w:ascii="Symbol" w:hAnsi="Symbol" w:cs="Symbol"/>
        </w:rPr>
        <w:t>®</w:t>
      </w:r>
      <w:r w:rsidRPr="0072454B">
        <w:rPr>
          <w:rFonts w:ascii="Symbol" w:hAnsi="Symbol" w:cs="Symbol"/>
        </w:rPr>
        <w:tab/>
      </w:r>
      <w:r w:rsidRPr="0072454B">
        <w:rPr>
          <w:rFonts w:ascii="Symbol" w:hAnsi="Symbol" w:cs="Symbol"/>
        </w:rPr>
        <w:tab/>
      </w:r>
      <w:r w:rsidRPr="0072454B">
        <w:rPr>
          <w:rFonts w:ascii="Symbol" w:hAnsi="Symbol"/>
        </w:rPr>
        <w:t>d</w:t>
      </w:r>
      <w:r w:rsidRPr="0072454B">
        <w:rPr>
          <w:vertAlign w:val="superscript"/>
        </w:rPr>
        <w:t>18</w:t>
      </w:r>
      <w:r w:rsidRPr="0072454B">
        <w:t>O of water used in irrigation (mixture of enriched river water plus depleted GW)</w:t>
      </w:r>
    </w:p>
    <w:p w14:paraId="3B81EBC5" w14:textId="77777777" w:rsidR="0072454B" w:rsidRPr="0072454B" w:rsidRDefault="0072454B" w:rsidP="0072454B">
      <w:pPr>
        <w:tabs>
          <w:tab w:val="decimal" w:pos="284"/>
          <w:tab w:val="decimal" w:pos="567"/>
          <w:tab w:val="decimal" w:pos="851"/>
          <w:tab w:val="decimal" w:pos="993"/>
          <w:tab w:val="right" w:pos="1418"/>
          <w:tab w:val="right" w:pos="1701"/>
          <w:tab w:val="right" w:pos="1985"/>
          <w:tab w:val="right" w:pos="2268"/>
          <w:tab w:val="right" w:pos="2552"/>
          <w:tab w:val="right" w:pos="2835"/>
          <w:tab w:val="right" w:pos="3119"/>
        </w:tabs>
        <w:autoSpaceDE w:val="0"/>
        <w:autoSpaceDN w:val="0"/>
        <w:adjustRightInd w:val="0"/>
        <w:spacing w:after="0" w:line="240" w:lineRule="auto"/>
        <w:ind w:right="-448"/>
        <w:rPr>
          <w:rFonts w:ascii="MS Shell Dlg 2" w:hAnsi="MS Shell Dlg 2" w:cs="MS Shell Dlg 2"/>
        </w:rPr>
      </w:pPr>
      <w:r w:rsidRPr="0072454B">
        <w:tab/>
        <w:t>-10.00</w:t>
      </w:r>
      <w:r w:rsidRPr="0072454B">
        <w:tab/>
      </w:r>
      <w:r w:rsidRPr="0072454B">
        <w:tab/>
      </w:r>
      <w:r w:rsidRPr="0072454B">
        <w:rPr>
          <w:rFonts w:ascii="Symbol" w:hAnsi="Symbol" w:cs="Symbol"/>
        </w:rPr>
        <w:t>®</w:t>
      </w:r>
      <w:r w:rsidRPr="0072454B">
        <w:rPr>
          <w:rFonts w:ascii="Symbol" w:hAnsi="Symbol" w:cs="Symbol"/>
        </w:rPr>
        <w:tab/>
      </w:r>
      <w:r w:rsidRPr="0072454B">
        <w:tab/>
        <w:t xml:space="preserve">fractionation to calculate </w:t>
      </w:r>
      <w:r w:rsidRPr="0072454B">
        <w:rPr>
          <w:rFonts w:ascii="Symbol" w:hAnsi="Symbol"/>
        </w:rPr>
        <w:t>d</w:t>
      </w:r>
      <w:r w:rsidRPr="0072454B">
        <w:rPr>
          <w:vertAlign w:val="superscript"/>
        </w:rPr>
        <w:t>18</w:t>
      </w:r>
      <w:r w:rsidRPr="0072454B">
        <w:t>O of the vapor released by irrigation water evaporation</w:t>
      </w:r>
    </w:p>
    <w:p w14:paraId="023EAC94" w14:textId="77777777" w:rsidR="0072454B" w:rsidRPr="0072454B" w:rsidRDefault="0072454B" w:rsidP="0072454B">
      <w:pPr>
        <w:tabs>
          <w:tab w:val="decimal" w:pos="284"/>
          <w:tab w:val="decimal" w:pos="567"/>
          <w:tab w:val="decimal" w:pos="851"/>
          <w:tab w:val="decimal" w:pos="993"/>
          <w:tab w:val="right" w:pos="1418"/>
          <w:tab w:val="right" w:pos="1701"/>
          <w:tab w:val="right" w:pos="1985"/>
          <w:tab w:val="right" w:pos="2268"/>
          <w:tab w:val="right" w:pos="2552"/>
          <w:tab w:val="right" w:pos="2835"/>
          <w:tab w:val="right" w:pos="3119"/>
        </w:tabs>
        <w:autoSpaceDE w:val="0"/>
        <w:autoSpaceDN w:val="0"/>
        <w:adjustRightInd w:val="0"/>
        <w:spacing w:after="0" w:line="240" w:lineRule="auto"/>
        <w:ind w:right="-448"/>
        <w:rPr>
          <w:rFonts w:ascii="MS Shell Dlg 2" w:hAnsi="MS Shell Dlg 2" w:cs="MS Shell Dlg 2"/>
        </w:rPr>
      </w:pPr>
      <w:r w:rsidRPr="0072454B">
        <w:tab/>
        <w:t>-7.50</w:t>
      </w:r>
      <w:r w:rsidRPr="0072454B">
        <w:tab/>
      </w:r>
      <w:r w:rsidRPr="0072454B">
        <w:tab/>
      </w:r>
      <w:r w:rsidRPr="0072454B">
        <w:rPr>
          <w:rFonts w:ascii="Symbol" w:hAnsi="Symbol" w:cs="Symbol"/>
        </w:rPr>
        <w:t>®</w:t>
      </w:r>
      <w:r w:rsidRPr="0072454B">
        <w:rPr>
          <w:rFonts w:ascii="Symbol" w:hAnsi="Symbol" w:cs="Symbol"/>
        </w:rPr>
        <w:tab/>
      </w:r>
      <w:r w:rsidRPr="0072454B">
        <w:tab/>
      </w:r>
      <w:r w:rsidRPr="0072454B">
        <w:rPr>
          <w:rFonts w:ascii="Symbol" w:hAnsi="Symbol"/>
        </w:rPr>
        <w:t>d</w:t>
      </w:r>
      <w:r w:rsidRPr="0072454B">
        <w:rPr>
          <w:vertAlign w:val="superscript"/>
        </w:rPr>
        <w:t>18</w:t>
      </w:r>
      <w:r w:rsidRPr="0072454B">
        <w:t>O of vapor released by irrigation water evaporation</w:t>
      </w:r>
    </w:p>
    <w:p w14:paraId="396F4C3C" w14:textId="77777777" w:rsidR="0072454B" w:rsidRPr="0072454B" w:rsidRDefault="0072454B" w:rsidP="0072454B">
      <w:pPr>
        <w:tabs>
          <w:tab w:val="decimal" w:pos="284"/>
          <w:tab w:val="decimal" w:pos="567"/>
          <w:tab w:val="decimal" w:pos="851"/>
          <w:tab w:val="decimal" w:pos="993"/>
          <w:tab w:val="right" w:pos="1418"/>
          <w:tab w:val="right" w:pos="1701"/>
          <w:tab w:val="right" w:pos="1985"/>
          <w:tab w:val="right" w:pos="2268"/>
          <w:tab w:val="right" w:pos="2552"/>
          <w:tab w:val="right" w:pos="2835"/>
          <w:tab w:val="right" w:pos="3119"/>
        </w:tabs>
        <w:autoSpaceDE w:val="0"/>
        <w:autoSpaceDN w:val="0"/>
        <w:adjustRightInd w:val="0"/>
        <w:spacing w:after="0" w:line="240" w:lineRule="auto"/>
        <w:ind w:right="-448"/>
        <w:rPr>
          <w:rFonts w:ascii="MS Shell Dlg 2" w:hAnsi="MS Shell Dlg 2" w:cs="MS Shell Dlg 2"/>
        </w:rPr>
      </w:pPr>
      <w:r w:rsidRPr="0072454B">
        <w:tab/>
        <w:t>-3.75</w:t>
      </w:r>
      <w:r w:rsidRPr="0072454B">
        <w:tab/>
      </w:r>
      <w:r w:rsidRPr="0072454B">
        <w:tab/>
      </w:r>
      <w:r w:rsidRPr="0072454B">
        <w:rPr>
          <w:rFonts w:ascii="Symbol" w:hAnsi="Symbol" w:cs="Symbol"/>
        </w:rPr>
        <w:t>®</w:t>
      </w:r>
      <w:r w:rsidRPr="0072454B">
        <w:rPr>
          <w:rFonts w:ascii="Symbol" w:hAnsi="Symbol" w:cs="Symbol"/>
        </w:rPr>
        <w:tab/>
      </w:r>
      <w:r w:rsidRPr="0072454B">
        <w:tab/>
        <w:t>half of the ET is coming from evaporation of the irrigation water</w:t>
      </w:r>
    </w:p>
    <w:p w14:paraId="7DCC628D" w14:textId="77777777" w:rsidR="0072454B" w:rsidRPr="0072454B" w:rsidRDefault="0072454B" w:rsidP="0072454B">
      <w:pPr>
        <w:tabs>
          <w:tab w:val="decimal" w:pos="284"/>
          <w:tab w:val="decimal" w:pos="567"/>
          <w:tab w:val="decimal" w:pos="851"/>
          <w:tab w:val="decimal" w:pos="993"/>
          <w:tab w:val="right" w:pos="1418"/>
          <w:tab w:val="right" w:pos="1701"/>
          <w:tab w:val="right" w:pos="1985"/>
          <w:tab w:val="right" w:pos="2268"/>
          <w:tab w:val="right" w:pos="2552"/>
          <w:tab w:val="right" w:pos="2835"/>
          <w:tab w:val="right" w:pos="3119"/>
        </w:tabs>
        <w:autoSpaceDE w:val="0"/>
        <w:autoSpaceDN w:val="0"/>
        <w:adjustRightInd w:val="0"/>
        <w:spacing w:after="0" w:line="240" w:lineRule="auto"/>
        <w:ind w:right="-448"/>
        <w:rPr>
          <w:rFonts w:ascii="MS Shell Dlg 2" w:hAnsi="MS Shell Dlg 2" w:cs="MS Shell Dlg 2"/>
        </w:rPr>
      </w:pPr>
      <w:r w:rsidRPr="0072454B">
        <w:tab/>
        <w:t>1.25</w:t>
      </w:r>
      <w:r w:rsidRPr="0072454B">
        <w:tab/>
      </w:r>
      <w:r w:rsidRPr="0072454B">
        <w:tab/>
      </w:r>
      <w:r w:rsidRPr="0072454B">
        <w:rPr>
          <w:rFonts w:ascii="Symbol" w:hAnsi="Symbol" w:cs="Symbol"/>
        </w:rPr>
        <w:t>®</w:t>
      </w:r>
      <w:r w:rsidRPr="0072454B">
        <w:rPr>
          <w:rFonts w:ascii="Symbol" w:hAnsi="Symbol" w:cs="Symbol"/>
        </w:rPr>
        <w:tab/>
      </w:r>
      <w:r w:rsidRPr="0072454B">
        <w:tab/>
        <w:t>half of ET is coming from transpiration</w:t>
      </w:r>
    </w:p>
    <w:p w14:paraId="24EDBA61" w14:textId="77777777" w:rsidR="0072454B" w:rsidRPr="0072454B" w:rsidRDefault="0072454B" w:rsidP="0072454B">
      <w:pPr>
        <w:tabs>
          <w:tab w:val="decimal" w:pos="284"/>
          <w:tab w:val="decimal" w:pos="567"/>
          <w:tab w:val="decimal" w:pos="851"/>
          <w:tab w:val="decimal" w:pos="993"/>
          <w:tab w:val="right" w:pos="1418"/>
          <w:tab w:val="right" w:pos="1701"/>
          <w:tab w:val="right" w:pos="1985"/>
          <w:tab w:val="right" w:pos="2268"/>
          <w:tab w:val="right" w:pos="2552"/>
          <w:tab w:val="right" w:pos="2835"/>
          <w:tab w:val="right" w:pos="3119"/>
        </w:tabs>
        <w:autoSpaceDE w:val="0"/>
        <w:autoSpaceDN w:val="0"/>
        <w:adjustRightInd w:val="0"/>
        <w:spacing w:after="0" w:line="240" w:lineRule="auto"/>
        <w:ind w:right="-448"/>
        <w:rPr>
          <w:rFonts w:ascii="MS Shell Dlg 2" w:hAnsi="MS Shell Dlg 2" w:cs="MS Shell Dlg 2"/>
        </w:rPr>
      </w:pPr>
      <w:r w:rsidRPr="0072454B">
        <w:tab/>
        <w:t>2.50</w:t>
      </w:r>
      <w:r w:rsidRPr="0072454B">
        <w:tab/>
      </w:r>
      <w:r w:rsidRPr="0072454B">
        <w:tab/>
      </w:r>
      <w:r w:rsidRPr="0072454B">
        <w:rPr>
          <w:rFonts w:ascii="Symbol" w:hAnsi="Symbol" w:cs="Symbol"/>
        </w:rPr>
        <w:t>®</w:t>
      </w:r>
      <w:r w:rsidRPr="0072454B">
        <w:rPr>
          <w:rFonts w:ascii="Symbol" w:hAnsi="Symbol" w:cs="Symbol"/>
        </w:rPr>
        <w:tab/>
      </w:r>
      <w:r w:rsidRPr="0072454B">
        <w:tab/>
      </w:r>
      <w:r w:rsidRPr="0072454B">
        <w:rPr>
          <w:rFonts w:ascii="Symbol" w:hAnsi="Symbol"/>
        </w:rPr>
        <w:t>d</w:t>
      </w:r>
      <w:r w:rsidRPr="0072454B">
        <w:rPr>
          <w:vertAlign w:val="superscript"/>
        </w:rPr>
        <w:t>18</w:t>
      </w:r>
      <w:r w:rsidRPr="0072454B">
        <w:t xml:space="preserve">O of transpiration (it is equal to </w:t>
      </w:r>
      <w:r w:rsidRPr="0072454B">
        <w:rPr>
          <w:rFonts w:ascii="Symbol" w:hAnsi="Symbol"/>
        </w:rPr>
        <w:t>d</w:t>
      </w:r>
      <w:r w:rsidRPr="0072454B">
        <w:rPr>
          <w:vertAlign w:val="superscript"/>
        </w:rPr>
        <w:t>18</w:t>
      </w:r>
      <w:r w:rsidRPr="0072454B">
        <w:t>O of the irrigation water)</w:t>
      </w:r>
    </w:p>
    <w:p w14:paraId="4F13D828" w14:textId="77777777" w:rsidR="0072454B" w:rsidRPr="0072454B" w:rsidRDefault="0072454B" w:rsidP="0072454B">
      <w:pPr>
        <w:tabs>
          <w:tab w:val="decimal" w:pos="284"/>
          <w:tab w:val="decimal" w:pos="567"/>
          <w:tab w:val="decimal" w:pos="851"/>
          <w:tab w:val="decimal" w:pos="993"/>
          <w:tab w:val="right" w:pos="1418"/>
          <w:tab w:val="right" w:pos="1701"/>
          <w:tab w:val="right" w:pos="1985"/>
          <w:tab w:val="right" w:pos="2268"/>
          <w:tab w:val="right" w:pos="2552"/>
          <w:tab w:val="right" w:pos="2835"/>
          <w:tab w:val="right" w:pos="3119"/>
        </w:tabs>
        <w:autoSpaceDE w:val="0"/>
        <w:autoSpaceDN w:val="0"/>
        <w:adjustRightInd w:val="0"/>
        <w:spacing w:after="0" w:line="240" w:lineRule="auto"/>
        <w:ind w:right="-448"/>
        <w:rPr>
          <w:rFonts w:ascii="MS Shell Dlg 2" w:hAnsi="MS Shell Dlg 2" w:cs="MS Shell Dlg 2"/>
          <w:lang w:val="fr-FR"/>
        </w:rPr>
      </w:pPr>
      <w:r w:rsidRPr="0072454B">
        <w:tab/>
      </w:r>
      <w:r w:rsidRPr="0072454B">
        <w:rPr>
          <w:lang w:val="fr-FR"/>
        </w:rPr>
        <w:t>-2.50</w:t>
      </w:r>
      <w:r w:rsidRPr="0072454B">
        <w:rPr>
          <w:lang w:val="fr-FR"/>
        </w:rPr>
        <w:tab/>
      </w:r>
      <w:r w:rsidRPr="0072454B">
        <w:rPr>
          <w:lang w:val="fr-FR"/>
        </w:rPr>
        <w:tab/>
      </w:r>
      <w:r w:rsidRPr="0072454B">
        <w:rPr>
          <w:rFonts w:ascii="Symbol" w:hAnsi="Symbol" w:cs="Symbol"/>
        </w:rPr>
        <w:t>®</w:t>
      </w:r>
      <w:r w:rsidRPr="0072454B">
        <w:rPr>
          <w:rFonts w:ascii="Symbol" w:hAnsi="Symbol" w:cs="Symbol"/>
          <w:lang w:val="fr-FR"/>
        </w:rPr>
        <w:tab/>
      </w:r>
      <w:r w:rsidRPr="0072454B">
        <w:rPr>
          <w:lang w:val="fr-FR"/>
        </w:rPr>
        <w:tab/>
        <w:t xml:space="preserve">nominal </w:t>
      </w:r>
      <w:r w:rsidRPr="0072454B">
        <w:rPr>
          <w:rFonts w:ascii="Symbol" w:hAnsi="Symbol"/>
        </w:rPr>
        <w:t>d</w:t>
      </w:r>
      <w:r w:rsidRPr="0072454B">
        <w:rPr>
          <w:vertAlign w:val="superscript"/>
          <w:lang w:val="fr-FR"/>
        </w:rPr>
        <w:t>18</w:t>
      </w:r>
      <w:r w:rsidRPr="0072454B">
        <w:rPr>
          <w:lang w:val="fr-FR"/>
        </w:rPr>
        <w:t>O of the ET (ET = E+T = -3.75 + 1.25</w:t>
      </w:r>
    </w:p>
    <w:p w14:paraId="475843DB" w14:textId="77777777" w:rsidR="0072454B" w:rsidRPr="0072454B" w:rsidRDefault="0072454B" w:rsidP="0072454B">
      <w:pPr>
        <w:tabs>
          <w:tab w:val="decimal" w:pos="284"/>
          <w:tab w:val="decimal" w:pos="567"/>
          <w:tab w:val="decimal" w:pos="851"/>
          <w:tab w:val="decimal" w:pos="993"/>
          <w:tab w:val="right" w:pos="1418"/>
          <w:tab w:val="right" w:pos="1701"/>
          <w:tab w:val="right" w:pos="1985"/>
          <w:tab w:val="right" w:pos="2268"/>
          <w:tab w:val="right" w:pos="2552"/>
          <w:tab w:val="right" w:pos="2835"/>
          <w:tab w:val="right" w:pos="3119"/>
        </w:tabs>
        <w:autoSpaceDE w:val="0"/>
        <w:autoSpaceDN w:val="0"/>
        <w:adjustRightInd w:val="0"/>
        <w:spacing w:after="0" w:line="240" w:lineRule="auto"/>
        <w:ind w:right="-448"/>
      </w:pPr>
      <w:r w:rsidRPr="0072454B">
        <w:rPr>
          <w:lang w:val="fr-FR"/>
        </w:rPr>
        <w:tab/>
      </w:r>
      <w:r w:rsidRPr="0072454B">
        <w:t>-0.50</w:t>
      </w:r>
      <w:r w:rsidRPr="0072454B">
        <w:tab/>
      </w:r>
      <w:r w:rsidRPr="0072454B">
        <w:tab/>
      </w:r>
      <w:r w:rsidRPr="0072454B">
        <w:rPr>
          <w:rFonts w:ascii="Symbol" w:hAnsi="Symbol" w:cs="Symbol"/>
        </w:rPr>
        <w:t>®</w:t>
      </w:r>
      <w:r w:rsidRPr="0072454B">
        <w:rPr>
          <w:rFonts w:ascii="Symbol" w:hAnsi="Symbol" w:cs="Symbol"/>
        </w:rPr>
        <w:tab/>
      </w:r>
      <w:r w:rsidRPr="0072454B">
        <w:tab/>
        <w:t xml:space="preserve">effective </w:t>
      </w:r>
      <w:r w:rsidRPr="0072454B">
        <w:rPr>
          <w:rFonts w:ascii="Symbol" w:hAnsi="Symbol"/>
        </w:rPr>
        <w:t>d</w:t>
      </w:r>
      <w:r w:rsidRPr="0072454B">
        <w:rPr>
          <w:vertAlign w:val="superscript"/>
        </w:rPr>
        <w:t>18</w:t>
      </w:r>
      <w:r w:rsidRPr="0072454B">
        <w:t xml:space="preserve">O of ET used in </w:t>
      </w:r>
      <w:proofErr w:type="spellStart"/>
      <w:r w:rsidRPr="0072454B">
        <w:t>Noone</w:t>
      </w:r>
      <w:proofErr w:type="spellEnd"/>
      <w:r w:rsidRPr="0072454B">
        <w:t xml:space="preserve"> calculation</w:t>
      </w:r>
      <w:bookmarkEnd w:id="0"/>
      <w:bookmarkEnd w:id="1"/>
      <w:bookmarkEnd w:id="2"/>
    </w:p>
    <w:p w14:paraId="203013C9" w14:textId="77777777" w:rsidR="0072454B" w:rsidRPr="0072454B" w:rsidRDefault="0072454B" w:rsidP="0072454B">
      <w:pPr>
        <w:tabs>
          <w:tab w:val="decimal" w:pos="993"/>
          <w:tab w:val="right" w:pos="1418"/>
          <w:tab w:val="right" w:pos="1701"/>
          <w:tab w:val="right" w:pos="1985"/>
          <w:tab w:val="right" w:pos="2268"/>
          <w:tab w:val="right" w:pos="2552"/>
          <w:tab w:val="right" w:pos="2835"/>
          <w:tab w:val="right" w:pos="3119"/>
        </w:tabs>
        <w:autoSpaceDE w:val="0"/>
        <w:autoSpaceDN w:val="0"/>
        <w:adjustRightInd w:val="0"/>
        <w:spacing w:after="0" w:line="240" w:lineRule="auto"/>
        <w:ind w:right="-448"/>
        <w:rPr>
          <w:sz w:val="20"/>
          <w:szCs w:val="20"/>
        </w:rPr>
      </w:pPr>
      <w:r w:rsidRPr="0072454B">
        <w:rPr>
          <w:b/>
          <w:bCs/>
        </w:rPr>
        <w:tab/>
      </w:r>
    </w:p>
    <w:p w14:paraId="6F73B6B8" w14:textId="77777777" w:rsidR="0072454B" w:rsidRPr="0072454B" w:rsidRDefault="0072454B" w:rsidP="0072454B">
      <w:pPr>
        <w:ind w:right="-448"/>
      </w:pPr>
      <w:r w:rsidRPr="0072454B">
        <w:t>From the File named (Isotopic Composition and Specific Humidity of the three sources of Cairo atmospheric moisture_1) in the Folder (LINK2) on the Desktop</w:t>
      </w:r>
    </w:p>
    <w:p w14:paraId="4535B398" w14:textId="77777777" w:rsidR="0072454B" w:rsidRPr="0072454B" w:rsidRDefault="0072454B" w:rsidP="0072454B">
      <w:pPr>
        <w:spacing w:after="0"/>
        <w:ind w:left="-851"/>
        <w:rPr>
          <w:lang w:bidi="ar-EG"/>
        </w:rPr>
      </w:pPr>
    </w:p>
    <w:p w14:paraId="3837A6B6" w14:textId="77777777" w:rsidR="0072454B" w:rsidRPr="0072454B" w:rsidRDefault="0072454B" w:rsidP="0072454B">
      <w:pPr>
        <w:spacing w:after="0"/>
        <w:ind w:left="-851"/>
        <w:rPr>
          <w:lang w:bidi="ar-EG"/>
        </w:rPr>
      </w:pPr>
    </w:p>
    <w:p w14:paraId="4A035B73" w14:textId="77777777" w:rsidR="0072454B" w:rsidRPr="0072454B" w:rsidRDefault="0072454B" w:rsidP="0072454B">
      <w:pPr>
        <w:spacing w:after="0"/>
        <w:ind w:left="-851"/>
        <w:rPr>
          <w:lang w:bidi="ar-EG"/>
        </w:rPr>
      </w:pPr>
    </w:p>
    <w:p w14:paraId="7DD8219E" w14:textId="77777777" w:rsidR="0072454B" w:rsidRPr="0072454B" w:rsidRDefault="0072454B" w:rsidP="0072454B">
      <w:pPr>
        <w:spacing w:after="0"/>
        <w:ind w:left="-851"/>
        <w:rPr>
          <w:lang w:bidi="ar-EG"/>
        </w:rPr>
      </w:pPr>
    </w:p>
    <w:p w14:paraId="678E983E" w14:textId="77777777" w:rsidR="0072454B" w:rsidRPr="0072454B" w:rsidRDefault="0072454B" w:rsidP="0072454B">
      <w:pPr>
        <w:spacing w:after="0"/>
        <w:ind w:left="-851"/>
        <w:rPr>
          <w:lang w:bidi="ar-EG"/>
        </w:rPr>
      </w:pPr>
    </w:p>
    <w:p w14:paraId="64736773" w14:textId="77777777" w:rsidR="0072454B" w:rsidRPr="0072454B" w:rsidRDefault="0072454B" w:rsidP="0072454B">
      <w:pPr>
        <w:spacing w:after="0"/>
        <w:ind w:left="-851"/>
        <w:rPr>
          <w:lang w:bidi="ar-EG"/>
        </w:rPr>
      </w:pPr>
    </w:p>
    <w:p w14:paraId="3A549A51" w14:textId="77777777" w:rsidR="0072454B" w:rsidRPr="0072454B" w:rsidRDefault="0072454B" w:rsidP="0072454B">
      <w:pPr>
        <w:spacing w:after="0"/>
        <w:ind w:left="-851"/>
        <w:rPr>
          <w:lang w:bidi="ar-EG"/>
        </w:rPr>
      </w:pPr>
    </w:p>
    <w:p w14:paraId="5AB0F2B6" w14:textId="77777777" w:rsidR="0072454B" w:rsidRPr="0072454B" w:rsidRDefault="0072454B" w:rsidP="0072454B">
      <w:pPr>
        <w:spacing w:after="0"/>
        <w:ind w:left="-851"/>
        <w:rPr>
          <w:lang w:bidi="ar-EG"/>
        </w:rPr>
      </w:pPr>
    </w:p>
    <w:p w14:paraId="515C0F6D" w14:textId="77777777" w:rsidR="0072454B" w:rsidRPr="0072454B" w:rsidRDefault="0072454B" w:rsidP="0072454B">
      <w:pPr>
        <w:spacing w:after="0"/>
        <w:ind w:left="-851"/>
        <w:rPr>
          <w:lang w:bidi="ar-EG"/>
        </w:rPr>
      </w:pPr>
    </w:p>
    <w:p w14:paraId="65902CFD" w14:textId="77777777" w:rsidR="0072454B" w:rsidRPr="0072454B" w:rsidRDefault="0072454B" w:rsidP="0072454B">
      <w:pPr>
        <w:spacing w:after="0"/>
        <w:rPr>
          <w:lang w:bidi="ar-EG"/>
        </w:rPr>
      </w:pPr>
    </w:p>
    <w:p w14:paraId="671ADC72" w14:textId="77777777" w:rsidR="0072454B" w:rsidRPr="0072454B" w:rsidRDefault="0072454B" w:rsidP="0072454B">
      <w:pPr>
        <w:spacing w:after="0"/>
        <w:ind w:left="-851"/>
        <w:rPr>
          <w:lang w:bidi="ar-EG"/>
        </w:rPr>
      </w:pPr>
    </w:p>
    <w:p w14:paraId="0C87E8E5" w14:textId="77777777" w:rsidR="0072454B" w:rsidRPr="0072454B" w:rsidRDefault="0072454B" w:rsidP="0072454B">
      <w:pPr>
        <w:spacing w:after="0"/>
        <w:ind w:left="-851"/>
        <w:rPr>
          <w:lang w:bidi="ar-EG"/>
        </w:rPr>
      </w:pPr>
      <w:r w:rsidRPr="0072454B">
        <w:rPr>
          <w:lang w:bidi="ar-EG"/>
        </w:rPr>
        <w:t xml:space="preserve">Table 2. </w:t>
      </w:r>
      <w:r w:rsidRPr="0072454B">
        <w:t xml:space="preserve">Maximum, average, and minimum values of </w:t>
      </w:r>
      <w:r w:rsidRPr="0072454B">
        <w:rPr>
          <w:rFonts w:ascii="Symbol" w:hAnsi="Symbol"/>
        </w:rPr>
        <w:t></w:t>
      </w:r>
      <w:r w:rsidRPr="0072454B">
        <w:rPr>
          <w:vertAlign w:val="superscript"/>
        </w:rPr>
        <w:t>18</w:t>
      </w:r>
      <w:r w:rsidRPr="0072454B">
        <w:t>O</w:t>
      </w:r>
      <w:r w:rsidRPr="0072454B">
        <w:rPr>
          <w:vertAlign w:val="subscript"/>
        </w:rPr>
        <w:t>V</w:t>
      </w:r>
      <w:r w:rsidRPr="0072454B">
        <w:t>/V-SMOW‰, specific humidity, S. g/kg moist air, and percent contributions for the three moisture sources in the local AVMs, downtown Cairo city. The sum of contributions in any row is not 100% since the figures are not for any given data-point in the data set that holds 74 AVM data-points. The number of Summer data-points (55) is about three times that of Winter (19) due to the rarity of precipitation events that can be successfully sampled in Cairo to get valid isotope measurement</w:t>
      </w:r>
      <w:r w:rsidRPr="0072454B">
        <w:rPr>
          <w:lang w:bidi="ar-EG"/>
        </w:rPr>
        <w:t>.</w:t>
      </w:r>
    </w:p>
    <w:p w14:paraId="54FE46BF" w14:textId="77777777" w:rsidR="0072454B" w:rsidRPr="0072454B" w:rsidRDefault="0072454B" w:rsidP="0072454B">
      <w:pPr>
        <w:spacing w:after="0"/>
        <w:ind w:left="-851"/>
        <w:rPr>
          <w:lang w:bidi="ar-EG"/>
        </w:rPr>
      </w:pPr>
    </w:p>
    <w:p w14:paraId="39ECF803" w14:textId="77777777" w:rsidR="0072454B" w:rsidRPr="0072454B" w:rsidRDefault="0072454B" w:rsidP="0072454B">
      <w:pPr>
        <w:spacing w:after="0"/>
        <w:ind w:left="-851"/>
        <w:jc w:val="center"/>
        <w:rPr>
          <w:rtl/>
          <w:lang w:bidi="ar-EG"/>
        </w:rPr>
      </w:pPr>
      <w:r w:rsidRPr="0072454B">
        <w:rPr>
          <w:noProof/>
        </w:rPr>
        <w:drawing>
          <wp:inline distT="0" distB="0" distL="0" distR="0" wp14:anchorId="346328BE" wp14:editId="5B1EDFA8">
            <wp:extent cx="6681600" cy="6058800"/>
            <wp:effectExtent l="19050" t="19050" r="24130" b="184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81600" cy="6058800"/>
                    </a:xfrm>
                    <a:prstGeom prst="rect">
                      <a:avLst/>
                    </a:prstGeom>
                    <a:ln w="3175">
                      <a:solidFill>
                        <a:schemeClr val="tx1"/>
                      </a:solidFill>
                    </a:ln>
                  </pic:spPr>
                </pic:pic>
              </a:graphicData>
            </a:graphic>
          </wp:inline>
        </w:drawing>
      </w:r>
    </w:p>
    <w:p w14:paraId="52F350C6" w14:textId="77777777" w:rsidR="0072454B" w:rsidRPr="0072454B" w:rsidRDefault="0072454B" w:rsidP="0072454B">
      <w:pPr>
        <w:spacing w:after="0"/>
        <w:ind w:firstLine="567"/>
        <w:rPr>
          <w:rtl/>
          <w:lang w:bidi="ar-EG"/>
        </w:rPr>
      </w:pPr>
    </w:p>
    <w:p w14:paraId="7E99CF29" w14:textId="62D27090" w:rsidR="00E95803" w:rsidRPr="0072454B" w:rsidRDefault="00E95803">
      <w:pPr>
        <w:rPr>
          <w:lang w:bidi="ar-EG"/>
        </w:rPr>
      </w:pPr>
    </w:p>
    <w:sectPr w:rsidR="00E95803" w:rsidRPr="00724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Shell Dlg 2">
    <w:altName w:val="Sylfae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4B"/>
    <w:rsid w:val="0072454B"/>
    <w:rsid w:val="00E9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446F"/>
  <w15:chartTrackingRefBased/>
  <w15:docId w15:val="{309C9221-9303-47E0-91F8-7592C000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54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Bevins</dc:creator>
  <cp:keywords/>
  <dc:description/>
  <cp:lastModifiedBy>Karina Bevins</cp:lastModifiedBy>
  <cp:revision>1</cp:revision>
  <dcterms:created xsi:type="dcterms:W3CDTF">2020-09-10T01:31:00Z</dcterms:created>
  <dcterms:modified xsi:type="dcterms:W3CDTF">2020-09-10T01:31:00Z</dcterms:modified>
</cp:coreProperties>
</file>