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contextualSpacing/>
        <w:jc w:val="left"/>
        <w:rPr>
          <w:rFonts w:ascii="Times New Roman" w:eastAsia="ＭＳ Ｐゴシック" w:hAnsi="Times New Roman"/>
          <w:bCs/>
          <w:color w:val="000000"/>
          <w:kern w:val="0"/>
          <w:sz w:val="24"/>
        </w:rPr>
      </w:pPr>
      <w:r>
        <w:rPr>
          <w:rFonts w:ascii="Times New Roman" w:eastAsia="ＭＳ Ｐゴシック" w:hAnsi="Times New Roman"/>
          <w:b/>
          <w:bCs/>
          <w:color w:val="000000"/>
          <w:kern w:val="0"/>
          <w:sz w:val="24"/>
        </w:rPr>
        <w:t>Appendix Table 1.</w:t>
      </w:r>
      <w:r>
        <w:rPr>
          <w:rFonts w:ascii="Times New Roman" w:eastAsia="ＭＳ Ｐゴシック" w:hAnsi="Times New Roman"/>
          <w:bCs/>
          <w:color w:val="000000"/>
          <w:kern w:val="0"/>
          <w:sz w:val="24"/>
        </w:rPr>
        <w:t xml:space="preserve"> </w:t>
      </w:r>
    </w:p>
    <w:p>
      <w:pPr>
        <w:contextualSpacing/>
        <w:jc w:val="left"/>
        <w:rPr>
          <w:rFonts w:ascii="Times New Roman" w:eastAsia="ＭＳ Ｐゴシック" w:hAnsi="Times New Roman"/>
          <w:bCs/>
          <w:color w:val="000000"/>
          <w:kern w:val="0"/>
          <w:sz w:val="24"/>
        </w:rPr>
      </w:pPr>
      <w:r>
        <w:rPr>
          <w:rFonts w:ascii="Times New Roman" w:eastAsia="ＭＳ Ｐゴシック" w:hAnsi="Times New Roman"/>
          <w:bCs/>
          <w:color w:val="000000"/>
          <w:kern w:val="0"/>
          <w:sz w:val="24"/>
        </w:rPr>
        <w:t>Results of the Probabilistic Sensitivity Analysis-1,000 individuals with 1,000 Monte Carlo Simulations</w:t>
      </w:r>
    </w:p>
    <w:tbl>
      <w:tblPr>
        <w:tblStyle w:val="a3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79"/>
        <w:gridCol w:w="1806"/>
        <w:gridCol w:w="936"/>
        <w:gridCol w:w="804"/>
        <w:gridCol w:w="1464"/>
        <w:gridCol w:w="1138"/>
        <w:gridCol w:w="1445"/>
        <w:gridCol w:w="2458"/>
      </w:tblGrid>
      <w:tr>
        <w:tc>
          <w:tcPr>
            <w:tcW w:w="1193" w:type="pct"/>
            <w:gridSpan w:val="2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Population</w:t>
            </w:r>
          </w:p>
        </w:tc>
        <w:tc>
          <w:tcPr>
            <w:tcW w:w="432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Interval</w:t>
            </w:r>
          </w:p>
        </w:tc>
        <w:tc>
          <w:tcPr>
            <w:tcW w:w="371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QALY</w:t>
            </w:r>
          </w:p>
        </w:tc>
        <w:tc>
          <w:tcPr>
            <w:tcW w:w="676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Incremental QALY</w:t>
            </w:r>
          </w:p>
        </w:tc>
        <w:tc>
          <w:tcPr>
            <w:tcW w:w="525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Cost ($)</w:t>
            </w:r>
          </w:p>
        </w:tc>
        <w:tc>
          <w:tcPr>
            <w:tcW w:w="667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Incremental cost ($)</w:t>
            </w:r>
          </w:p>
        </w:tc>
        <w:tc>
          <w:tcPr>
            <w:tcW w:w="1135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ICER ($/QALY)</w:t>
            </w:r>
          </w:p>
        </w:tc>
      </w:tr>
      <w:tr>
        <w:tc>
          <w:tcPr>
            <w:tcW w:w="360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Age</w:t>
            </w:r>
          </w:p>
        </w:tc>
        <w:tc>
          <w:tcPr>
            <w:tcW w:w="834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BMI group</w:t>
            </w:r>
          </w:p>
        </w:tc>
        <w:tc>
          <w:tcPr>
            <w:tcW w:w="432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371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676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525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667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1135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</w:tr>
      <w:tr>
        <w:tc>
          <w:tcPr>
            <w:tcW w:w="360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30-44</w:t>
            </w: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Underweight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30.15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2,464.40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3-year</w:t>
            </w:r>
          </w:p>
        </w:tc>
        <w:tc>
          <w:tcPr>
            <w:tcW w:w="371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30.15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976.09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rPr>
          <w:trHeight w:val="199"/>
        </w:trP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10-year</w:t>
            </w:r>
          </w:p>
        </w:tc>
        <w:tc>
          <w:tcPr>
            <w:tcW w:w="371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30.16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426.58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Dominant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Normal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30.13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2,495.39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3-year</w:t>
            </w:r>
          </w:p>
        </w:tc>
        <w:tc>
          <w:tcPr>
            <w:tcW w:w="371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30.14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0.002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1,117.75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395.94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181,321.36</w:t>
            </w:r>
          </w:p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6-year)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6-year</w:t>
            </w:r>
          </w:p>
        </w:tc>
        <w:tc>
          <w:tcPr>
            <w:tcW w:w="371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30.14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721.81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Overweight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29.87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2,873.92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29.94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2,720.52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4-year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29.94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2,466.16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Dominant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Obese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28.88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4,360.47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29.18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9,013.37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29.21</w:t>
            </w:r>
          </w:p>
        </w:tc>
        <w:tc>
          <w:tcPr>
            <w:tcW w:w="676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0.33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9,014.82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4,654.30</w:t>
            </w:r>
          </w:p>
        </w:tc>
        <w:tc>
          <w:tcPr>
            <w:tcW w:w="1135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14,035.31</w:t>
            </w:r>
          </w:p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Annual)</w:t>
            </w:r>
          </w:p>
        </w:tc>
      </w:tr>
      <w:tr>
        <w:tc>
          <w:tcPr>
            <w:tcW w:w="360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45-59</w:t>
            </w: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Underweight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23.56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195,290.60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3-year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23.57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0.003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86,842.28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459.46</w:t>
            </w:r>
          </w:p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182,263.40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10-year)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10-year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23.56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40,896.47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Normal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23.42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2,055.86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23.46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1,491.09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6-year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23.46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1,137.62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Dominant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Overweight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23.16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2,790.12</w:t>
            </w:r>
          </w:p>
        </w:tc>
        <w:tc>
          <w:tcPr>
            <w:tcW w:w="667" w:type="pct"/>
            <w:shd w:val="clear" w:color="auto" w:fill="auto"/>
          </w:tcPr>
          <w:p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</w:tr>
      <w:tr>
        <w:trPr>
          <w:trHeight w:val="47"/>
        </w:trP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23.26</w:t>
            </w:r>
          </w:p>
        </w:tc>
        <w:tc>
          <w:tcPr>
            <w:tcW w:w="676" w:type="pct"/>
            <w:shd w:val="clear" w:color="auto" w:fill="auto"/>
          </w:tcPr>
          <w:p>
            <w:pPr>
              <w:widowControl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0.01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3,098.03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235.80</w:t>
            </w:r>
          </w:p>
        </w:tc>
        <w:tc>
          <w:tcPr>
            <w:tcW w:w="1135" w:type="pct"/>
            <w:shd w:val="clear" w:color="auto" w:fill="auto"/>
          </w:tcPr>
          <w:p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26,771.81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4-year)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4-year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23.25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0.09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2,862.22</w:t>
            </w:r>
          </w:p>
        </w:tc>
        <w:tc>
          <w:tcPr>
            <w:tcW w:w="667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72.10</w:t>
            </w:r>
          </w:p>
        </w:tc>
        <w:tc>
          <w:tcPr>
            <w:tcW w:w="1135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802.17</w:t>
            </w:r>
          </w:p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 xml:space="preserve"> (vs Annual)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Obese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22.27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3,068.62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22.67</w:t>
            </w:r>
          </w:p>
        </w:tc>
        <w:tc>
          <w:tcPr>
            <w:tcW w:w="676" w:type="pct"/>
            <w:shd w:val="clear" w:color="auto" w:fill="auto"/>
          </w:tcPr>
          <w:p>
            <w:pPr>
              <w:widowControl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0.01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7,555.49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262.53</w:t>
            </w:r>
          </w:p>
        </w:tc>
        <w:tc>
          <w:tcPr>
            <w:tcW w:w="1135" w:type="pct"/>
            <w:shd w:val="clear" w:color="auto" w:fill="auto"/>
          </w:tcPr>
          <w:p>
            <w:pPr>
              <w:widowControl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28</w:t>
            </w: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,</w:t>
            </w: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842.73</w:t>
            </w:r>
          </w:p>
          <w:p>
            <w:pPr>
              <w:widowControl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4-year)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4-year</w:t>
            </w:r>
          </w:p>
        </w:tc>
        <w:tc>
          <w:tcPr>
            <w:tcW w:w="371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22.66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0.38</w:t>
            </w:r>
          </w:p>
        </w:tc>
        <w:tc>
          <w:tcPr>
            <w:tcW w:w="525" w:type="pct"/>
            <w:shd w:val="clear" w:color="auto" w:fill="auto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7,292.96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4,224.34</w:t>
            </w:r>
          </w:p>
        </w:tc>
        <w:tc>
          <w:tcPr>
            <w:tcW w:w="1135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11</w:t>
            </w: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,</w:t>
            </w: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000.99</w:t>
            </w:r>
          </w:p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Annual)</w:t>
            </w:r>
          </w:p>
        </w:tc>
      </w:tr>
      <w:tr>
        <w:tc>
          <w:tcPr>
            <w:tcW w:w="360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60-74</w:t>
            </w: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Underweight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15.75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1330.28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15.76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0.004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661.71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righ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194.53</w:t>
            </w:r>
          </w:p>
        </w:tc>
        <w:tc>
          <w:tcPr>
            <w:tcW w:w="1135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47,742.19</w:t>
            </w:r>
          </w:p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6-year)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6-year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15.76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467.18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Normal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15.65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1366.64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Dominated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15.70</w:t>
            </w:r>
          </w:p>
        </w:tc>
        <w:tc>
          <w:tcPr>
            <w:tcW w:w="676" w:type="pct"/>
            <w:shd w:val="clear" w:color="auto" w:fill="auto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1008.83</w:t>
            </w:r>
          </w:p>
        </w:tc>
        <w:tc>
          <w:tcPr>
            <w:tcW w:w="667" w:type="pct"/>
            <w:shd w:val="clear" w:color="auto" w:fill="auto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294.71</w:t>
            </w:r>
          </w:p>
        </w:tc>
        <w:tc>
          <w:tcPr>
            <w:tcW w:w="1135" w:type="pct"/>
            <w:shd w:val="clear" w:color="auto" w:fill="auto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44026.83</w:t>
            </w:r>
          </w:p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7-year)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7-year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15.69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714.11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Overweight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15.45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1,453.632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15.54</w:t>
            </w:r>
          </w:p>
        </w:tc>
        <w:tc>
          <w:tcPr>
            <w:tcW w:w="676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0.01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1,810.007</w:t>
            </w:r>
          </w:p>
        </w:tc>
        <w:tc>
          <w:tcPr>
            <w:tcW w:w="667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246.61</w:t>
            </w:r>
          </w:p>
        </w:tc>
        <w:tc>
          <w:tcPr>
            <w:tcW w:w="1135" w:type="pct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30,620.69</w:t>
            </w:r>
          </w:p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lastRenderedPageBreak/>
              <w:t>(vs 5-year)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5-year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15.53</w:t>
            </w:r>
          </w:p>
        </w:tc>
        <w:tc>
          <w:tcPr>
            <w:tcW w:w="676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0.08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1,563.397</w:t>
            </w:r>
          </w:p>
        </w:tc>
        <w:tc>
          <w:tcPr>
            <w:tcW w:w="667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109.7649</w:t>
            </w:r>
          </w:p>
        </w:tc>
        <w:tc>
          <w:tcPr>
            <w:tcW w:w="1135" w:type="pct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1,347.50</w:t>
            </w:r>
          </w:p>
          <w:p>
            <w:pPr>
              <w:widowControl/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(vs Annual)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 w:val="restar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Obese</w:t>
            </w:r>
          </w:p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Annual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15.02</w:t>
            </w:r>
          </w:p>
        </w:tc>
        <w:tc>
          <w:tcPr>
            <w:tcW w:w="676" w:type="pct"/>
            <w:shd w:val="clear" w:color="auto" w:fill="auto"/>
          </w:tcPr>
          <w:p>
            <w:pPr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 w:hint="eastAsia"/>
                <w:color w:val="000000" w:themeColor="dark1"/>
                <w:kern w:val="24"/>
                <w:sz w:val="24"/>
              </w:rPr>
              <w:t>―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1,629.16</w:t>
            </w:r>
          </w:p>
        </w:tc>
        <w:tc>
          <w:tcPr>
            <w:tcW w:w="667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  <w:tc>
          <w:tcPr>
            <w:tcW w:w="1135" w:type="pct"/>
            <w:shd w:val="clear" w:color="auto" w:fill="auto"/>
          </w:tcPr>
          <w:p>
            <w:pP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 w:hint="eastAsia"/>
                <w:bCs/>
                <w:color w:val="000000"/>
                <w:kern w:val="0"/>
                <w:sz w:val="24"/>
              </w:rPr>
              <w:t>―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  <w:u w:val="single"/>
              </w:rPr>
              <w:t>3-year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15.25</w:t>
            </w:r>
          </w:p>
        </w:tc>
        <w:tc>
          <w:tcPr>
            <w:tcW w:w="676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0.004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3,606.67</w:t>
            </w:r>
          </w:p>
        </w:tc>
        <w:tc>
          <w:tcPr>
            <w:tcW w:w="667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176.59</w:t>
            </w:r>
          </w:p>
        </w:tc>
        <w:tc>
          <w:tcPr>
            <w:tcW w:w="1135" w:type="pct"/>
            <w:shd w:val="clear" w:color="auto" w:fill="auto"/>
            <w:vAlign w:val="bottom"/>
          </w:tcPr>
          <w:p>
            <w:pPr>
              <w:widowControl/>
              <w:ind w:right="480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40,588.01</w:t>
            </w:r>
          </w:p>
          <w:p>
            <w:pPr>
              <w:widowControl/>
              <w:ind w:right="480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(vs 4-year)</w:t>
            </w:r>
          </w:p>
        </w:tc>
      </w:tr>
      <w:tr>
        <w:tc>
          <w:tcPr>
            <w:tcW w:w="360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834" w:type="pct"/>
            <w:vMerge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</w:p>
        </w:tc>
        <w:tc>
          <w:tcPr>
            <w:tcW w:w="432" w:type="pct"/>
            <w:shd w:val="clear" w:color="auto" w:fill="auto"/>
          </w:tcPr>
          <w:p>
            <w:pPr>
              <w:jc w:val="lef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4-year</w:t>
            </w:r>
          </w:p>
        </w:tc>
        <w:tc>
          <w:tcPr>
            <w:tcW w:w="371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15.25</w:t>
            </w:r>
          </w:p>
        </w:tc>
        <w:tc>
          <w:tcPr>
            <w:tcW w:w="676" w:type="pct"/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/>
                <w:color w:val="000000" w:themeColor="dark1"/>
                <w:kern w:val="24"/>
                <w:sz w:val="24"/>
              </w:rPr>
            </w:pPr>
            <w:r>
              <w:rPr>
                <w:rFonts w:ascii="Times New Roman" w:hAnsi="Times New Roman"/>
                <w:color w:val="000000" w:themeColor="dark1"/>
                <w:kern w:val="24"/>
                <w:sz w:val="24"/>
              </w:rPr>
              <w:t>0.22</w:t>
            </w:r>
          </w:p>
        </w:tc>
        <w:tc>
          <w:tcPr>
            <w:tcW w:w="525" w:type="pct"/>
            <w:shd w:val="clear" w:color="auto" w:fill="auto"/>
            <w:vAlign w:val="bottom"/>
          </w:tcPr>
          <w:p>
            <w:pPr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3,430.09</w:t>
            </w:r>
          </w:p>
        </w:tc>
        <w:tc>
          <w:tcPr>
            <w:tcW w:w="667" w:type="pct"/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1,800.93</w:t>
            </w:r>
          </w:p>
        </w:tc>
        <w:tc>
          <w:tcPr>
            <w:tcW w:w="1135" w:type="pct"/>
            <w:shd w:val="clear" w:color="auto" w:fill="auto"/>
            <w:vAlign w:val="bottom"/>
          </w:tcPr>
          <w:p>
            <w:pPr>
              <w:widowControl/>
              <w:ind w:right="480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8,108.36</w:t>
            </w:r>
          </w:p>
          <w:p>
            <w:pPr>
              <w:widowControl/>
              <w:ind w:right="480"/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ＭＳ Ｐゴシック" w:hAnsi="Times New Roman"/>
                <w:bCs/>
                <w:color w:val="000000"/>
                <w:kern w:val="0"/>
                <w:sz w:val="24"/>
              </w:rPr>
              <w:t>(vs annual)</w:t>
            </w:r>
          </w:p>
        </w:tc>
      </w:tr>
    </w:tbl>
    <w:p>
      <w:pPr>
        <w:spacing w:line="480" w:lineRule="auto"/>
        <w:contextualSpacing/>
        <w:jc w:val="left"/>
        <w:rPr>
          <w:rFonts w:ascii="Times New Roman" w:eastAsia="ＭＳ Ｐゴシック" w:hAnsi="Times New Roman" w:cs="Arial"/>
          <w:b/>
          <w:bCs/>
          <w:color w:val="000000"/>
          <w:kern w:val="0"/>
          <w:sz w:val="24"/>
          <w:szCs w:val="20"/>
        </w:rPr>
      </w:pPr>
      <w:r>
        <w:rPr>
          <w:rFonts w:ascii="Times New Roman" w:eastAsia="ＭＳ Ｐゴシック" w:hAnsi="Times New Roman"/>
          <w:bCs/>
          <w:color w:val="000000"/>
          <w:kern w:val="0"/>
          <w:sz w:val="24"/>
          <w:u w:val="single"/>
        </w:rPr>
        <w:t>Underlined</w:t>
      </w:r>
      <w:r>
        <w:rPr>
          <w:rFonts w:ascii="Times New Roman" w:eastAsia="ＭＳ Ｐゴシック" w:hAnsi="Times New Roman"/>
          <w:bCs/>
          <w:color w:val="000000"/>
          <w:kern w:val="0"/>
          <w:sz w:val="24"/>
        </w:rPr>
        <w:t xml:space="preserve"> intervals are found to be the most cost effective strategies with a willingness-to-pay threshold of $50,000. Units of costs, incremental costs and ICER is in USD$.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r>
        <w:lastRenderedPageBreak/>
        <w:t>Appendix Figure 1: Age 30-44 years old: Outcomes of 1000 simulations from the societal perspective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1790"/>
        <w:gridCol w:w="6926"/>
      </w:tblGrid>
      <w:tr>
        <w:trPr>
          <w:trHeight w:val="345"/>
        </w:trPr>
        <w:tc>
          <w:tcPr>
            <w:tcW w:w="2216" w:type="dxa"/>
            <w:gridSpan w:val="2"/>
          </w:tcPr>
          <w:p>
            <w:r>
              <w:t>Underweight</w:t>
            </w:r>
          </w:p>
        </w:tc>
        <w:tc>
          <w:tcPr>
            <w:tcW w:w="6926" w:type="dxa"/>
            <w:vMerge w:val="restart"/>
          </w:tcPr>
          <w:p>
            <w:r>
              <w:object w:dxaOrig="16650" w:dyaOrig="9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5.3pt;height:193.45pt" o:ole="">
                  <v:imagedata r:id="rId7" o:title=""/>
                </v:shape>
                <o:OLEObject Type="Embed" ProgID="PBrush" ShapeID="_x0000_i1025" DrawAspect="Content" ObjectID="_1669729642" r:id="rId8"/>
              </w:object>
            </w:r>
          </w:p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Every 10 years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1590"/>
        </w:trPr>
        <w:tc>
          <w:tcPr>
            <w:tcW w:w="2216" w:type="dxa"/>
            <w:gridSpan w:val="2"/>
          </w:tcPr>
          <w:p/>
        </w:tc>
        <w:tc>
          <w:tcPr>
            <w:tcW w:w="6926" w:type="dxa"/>
            <w:vMerge/>
            <w:tcBorders>
              <w:bottom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216" w:type="dxa"/>
            <w:gridSpan w:val="2"/>
            <w:tcBorders>
              <w:right w:val="single" w:sz="4" w:space="0" w:color="000000"/>
            </w:tcBorders>
          </w:tcPr>
          <w:p>
            <w:pPr>
              <w:rPr>
                <w:color w:val="A6A6A6" w:themeColor="background1" w:themeShade="A6"/>
              </w:rPr>
            </w:pPr>
            <w:r>
              <w:t>Normal</w:t>
            </w:r>
          </w:p>
        </w:tc>
        <w:tc>
          <w:tcPr>
            <w:tcW w:w="69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r>
              <w:object w:dxaOrig="16365" w:dyaOrig="9600">
                <v:shape id="_x0000_i1026" type="#_x0000_t75" style="width:335.3pt;height:196.1pt" o:ole="">
                  <v:imagedata r:id="rId9" o:title=""/>
                </v:shape>
                <o:OLEObject Type="Embed" ProgID="PBrush" ShapeID="_x0000_i1026" DrawAspect="Content" ObjectID="_1669729643" r:id="rId10"/>
              </w:object>
            </w:r>
          </w:p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</w:tcPr>
          <w:p>
            <w:r>
              <w:t>Annual interval</w:t>
            </w:r>
          </w:p>
        </w:tc>
        <w:tc>
          <w:tcPr>
            <w:tcW w:w="6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</w:tcPr>
          <w:p>
            <w:r>
              <w:t>Every 3 years</w:t>
            </w:r>
          </w:p>
        </w:tc>
        <w:tc>
          <w:tcPr>
            <w:tcW w:w="6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</w:tcPr>
          <w:p>
            <w:r>
              <w:t>Every 6 years</w:t>
            </w:r>
          </w:p>
        </w:tc>
        <w:tc>
          <w:tcPr>
            <w:tcW w:w="69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803"/>
        </w:trPr>
        <w:tc>
          <w:tcPr>
            <w:tcW w:w="2216" w:type="dxa"/>
            <w:gridSpan w:val="2"/>
            <w:tcBorders>
              <w:right w:val="single" w:sz="4" w:space="0" w:color="000000"/>
            </w:tcBorders>
          </w:tcPr>
          <w:p/>
        </w:tc>
        <w:tc>
          <w:tcPr>
            <w:tcW w:w="69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216" w:type="dxa"/>
            <w:gridSpan w:val="2"/>
          </w:tcPr>
          <w:p>
            <w:r>
              <w:t>Overweight</w:t>
            </w:r>
          </w:p>
        </w:tc>
        <w:tc>
          <w:tcPr>
            <w:tcW w:w="6926" w:type="dxa"/>
            <w:vMerge w:val="restart"/>
            <w:tcBorders>
              <w:top w:val="single" w:sz="4" w:space="0" w:color="000000"/>
            </w:tcBorders>
          </w:tcPr>
          <w:p>
            <w:r>
              <w:object w:dxaOrig="16395" w:dyaOrig="9675">
                <v:shape id="_x0000_i1027" type="#_x0000_t75" style="width:335.3pt;height:197.75pt" o:ole="">
                  <v:imagedata r:id="rId11" o:title=""/>
                </v:shape>
                <o:OLEObject Type="Embed" ProgID="PBrush" ShapeID="_x0000_i1027" DrawAspect="Content" ObjectID="_1669729644" r:id="rId12"/>
              </w:object>
            </w:r>
          </w:p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Every 6 years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884"/>
        </w:trPr>
        <w:tc>
          <w:tcPr>
            <w:tcW w:w="2216" w:type="dxa"/>
            <w:gridSpan w:val="2"/>
          </w:tcPr>
          <w:p/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2216" w:type="dxa"/>
            <w:gridSpan w:val="2"/>
          </w:tcPr>
          <w:p>
            <w:r>
              <w:t>Obese</w:t>
            </w:r>
          </w:p>
        </w:tc>
        <w:tc>
          <w:tcPr>
            <w:tcW w:w="6926" w:type="dxa"/>
            <w:vMerge w:val="restart"/>
          </w:tcPr>
          <w:p>
            <w:r>
              <w:object w:dxaOrig="16395" w:dyaOrig="9630">
                <v:shape id="_x0000_i1028" type="#_x0000_t75" style="width:328.85pt;height:193.45pt" o:ole="">
                  <v:imagedata r:id="rId13" o:title=""/>
                </v:shape>
                <o:OLEObject Type="Embed" ProgID="PBrush" ShapeID="_x0000_i1028" DrawAspect="Content" ObjectID="_1669729645" r:id="rId14"/>
              </w:object>
            </w:r>
          </w:p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77"/>
        </w:trPr>
        <w:tc>
          <w:tcPr>
            <w:tcW w:w="426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790" w:type="dxa"/>
            <w:tcBorders>
              <w:left w:val="nil"/>
            </w:tcBorders>
          </w:tcPr>
          <w:p>
            <w:r>
              <w:t>Every 2 years</w:t>
            </w:r>
          </w:p>
        </w:tc>
        <w:tc>
          <w:tcPr>
            <w:tcW w:w="6926" w:type="dxa"/>
            <w:vMerge/>
          </w:tcPr>
          <w:p/>
        </w:tc>
      </w:tr>
      <w:tr>
        <w:trPr>
          <w:trHeight w:val="884"/>
        </w:trPr>
        <w:tc>
          <w:tcPr>
            <w:tcW w:w="2216" w:type="dxa"/>
            <w:gridSpan w:val="2"/>
          </w:tcPr>
          <w:p/>
        </w:tc>
        <w:tc>
          <w:tcPr>
            <w:tcW w:w="6926" w:type="dxa"/>
            <w:vMerge/>
          </w:tcPr>
          <w:p/>
        </w:tc>
      </w:tr>
    </w:tbl>
    <w:p>
      <w:r>
        <w:lastRenderedPageBreak/>
        <w:t>Appendix Figure 2: Age 45-59 years old: Outcomes of 1000 simulations from the societal perspective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6946"/>
      </w:tblGrid>
      <w:tr>
        <w:trPr>
          <w:trHeight w:val="77"/>
        </w:trPr>
        <w:tc>
          <w:tcPr>
            <w:tcW w:w="2263" w:type="dxa"/>
            <w:gridSpan w:val="2"/>
          </w:tcPr>
          <w:p>
            <w:r>
              <w:t>Underweight</w:t>
            </w:r>
          </w:p>
        </w:tc>
        <w:tc>
          <w:tcPr>
            <w:tcW w:w="6946" w:type="dxa"/>
            <w:vMerge w:val="restart"/>
          </w:tcPr>
          <w:p>
            <w:r>
              <w:object w:dxaOrig="16395" w:dyaOrig="9540">
                <v:shape id="_x0000_i1029" type="#_x0000_t75" style="width:318.1pt;height:184.85pt" o:ole="">
                  <v:imagedata r:id="rId15" o:title=""/>
                </v:shape>
                <o:OLEObject Type="Embed" ProgID="PBrush" ShapeID="_x0000_i1029" DrawAspect="Content" ObjectID="_1669729646" r:id="rId16"/>
              </w:object>
            </w:r>
          </w:p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10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884"/>
        </w:trPr>
        <w:tc>
          <w:tcPr>
            <w:tcW w:w="2263" w:type="dxa"/>
            <w:gridSpan w:val="2"/>
          </w:tcPr>
          <w:p/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2263" w:type="dxa"/>
            <w:gridSpan w:val="2"/>
          </w:tcPr>
          <w:p>
            <w:r>
              <w:t>Normal</w:t>
            </w:r>
          </w:p>
        </w:tc>
        <w:tc>
          <w:tcPr>
            <w:tcW w:w="6946" w:type="dxa"/>
            <w:vMerge w:val="restart"/>
          </w:tcPr>
          <w:p>
            <w:r>
              <w:object w:dxaOrig="16380" w:dyaOrig="9645">
                <v:shape id="_x0000_i1030" type="#_x0000_t75" style="width:317.55pt;height:188.05pt" o:ole="">
                  <v:imagedata r:id="rId17" o:title=""/>
                </v:shape>
                <o:OLEObject Type="Embed" ProgID="PBrush" ShapeID="_x0000_i1030" DrawAspect="Content" ObjectID="_1669729647" r:id="rId18"/>
              </w:object>
            </w:r>
          </w:p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6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884"/>
        </w:trPr>
        <w:tc>
          <w:tcPr>
            <w:tcW w:w="2263" w:type="dxa"/>
            <w:gridSpan w:val="2"/>
          </w:tcPr>
          <w:p/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2263" w:type="dxa"/>
            <w:gridSpan w:val="2"/>
          </w:tcPr>
          <w:p>
            <w:r>
              <w:t>Overweight</w:t>
            </w:r>
          </w:p>
        </w:tc>
        <w:tc>
          <w:tcPr>
            <w:tcW w:w="6946" w:type="dxa"/>
            <w:vMerge w:val="restart"/>
          </w:tcPr>
          <w:p>
            <w:r>
              <w:object w:dxaOrig="16455" w:dyaOrig="9555">
                <v:shape id="_x0000_i1031" type="#_x0000_t75" style="width:318.65pt;height:185.35pt" o:ole="">
                  <v:imagedata r:id="rId19" o:title=""/>
                </v:shape>
                <o:OLEObject Type="Embed" ProgID="PBrush" ShapeID="_x0000_i1031" DrawAspect="Content" ObjectID="_1669729648" r:id="rId20"/>
              </w:object>
            </w:r>
          </w:p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4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884"/>
        </w:trPr>
        <w:tc>
          <w:tcPr>
            <w:tcW w:w="2263" w:type="dxa"/>
            <w:gridSpan w:val="2"/>
          </w:tcPr>
          <w:p/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2263" w:type="dxa"/>
            <w:gridSpan w:val="2"/>
          </w:tcPr>
          <w:p>
            <w:r>
              <w:t>Obese</w:t>
            </w:r>
          </w:p>
        </w:tc>
        <w:tc>
          <w:tcPr>
            <w:tcW w:w="6946" w:type="dxa"/>
            <w:vMerge w:val="restart"/>
          </w:tcPr>
          <w:p>
            <w:r>
              <w:object w:dxaOrig="16410" w:dyaOrig="9570">
                <v:shape id="_x0000_i1032" type="#_x0000_t75" style="width:318.1pt;height:186.45pt" o:ole="">
                  <v:imagedata r:id="rId21" o:title=""/>
                </v:shape>
                <o:OLEObject Type="Embed" ProgID="PBrush" ShapeID="_x0000_i1032" DrawAspect="Content" ObjectID="_1669729649" r:id="rId22"/>
              </w:object>
            </w:r>
          </w:p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77"/>
        </w:trPr>
        <w:tc>
          <w:tcPr>
            <w:tcW w:w="421" w:type="dxa"/>
            <w:tcBorders>
              <w:right w:val="nil"/>
            </w:tcBorders>
          </w:tcPr>
          <w:p>
            <w:pPr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4 years</w:t>
            </w:r>
          </w:p>
        </w:tc>
        <w:tc>
          <w:tcPr>
            <w:tcW w:w="6946" w:type="dxa"/>
            <w:vMerge/>
          </w:tcPr>
          <w:p/>
        </w:tc>
      </w:tr>
      <w:tr>
        <w:trPr>
          <w:trHeight w:val="884"/>
        </w:trPr>
        <w:tc>
          <w:tcPr>
            <w:tcW w:w="2263" w:type="dxa"/>
            <w:gridSpan w:val="2"/>
          </w:tcPr>
          <w:p/>
        </w:tc>
        <w:tc>
          <w:tcPr>
            <w:tcW w:w="6946" w:type="dxa"/>
            <w:vMerge/>
          </w:tcPr>
          <w:p/>
        </w:tc>
      </w:tr>
    </w:tbl>
    <w:p>
      <w:pPr>
        <w:widowControl/>
        <w:jc w:val="left"/>
      </w:pPr>
      <w:r>
        <w:br w:type="page"/>
      </w:r>
      <w:r>
        <w:lastRenderedPageBreak/>
        <w:t>Appendix Figure 3: Age 60-74 years old: Outcomes of 1000 simulations from the societal perspective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6941"/>
      </w:tblGrid>
      <w:tr>
        <w:trPr>
          <w:trHeight w:val="164"/>
        </w:trPr>
        <w:tc>
          <w:tcPr>
            <w:tcW w:w="2268" w:type="dxa"/>
            <w:gridSpan w:val="2"/>
          </w:tcPr>
          <w:p>
            <w:r>
              <w:t>Underweight</w:t>
            </w:r>
          </w:p>
        </w:tc>
        <w:tc>
          <w:tcPr>
            <w:tcW w:w="6941" w:type="dxa"/>
            <w:vMerge w:val="restart"/>
          </w:tcPr>
          <w:p>
            <w:r>
              <w:object w:dxaOrig="16395" w:dyaOrig="9555">
                <v:shape id="_x0000_i1033" type="#_x0000_t75" style="width:336.35pt;height:195.05pt" o:ole="">
                  <v:imagedata r:id="rId23" o:title=""/>
                </v:shape>
                <o:OLEObject Type="Embed" ProgID="PBrush" ShapeID="_x0000_i1033" DrawAspect="Content" ObjectID="_1669729650" r:id="rId24"/>
              </w:object>
            </w:r>
          </w:p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6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2268" w:type="dxa"/>
            <w:gridSpan w:val="2"/>
          </w:tcPr>
          <w:p/>
        </w:tc>
        <w:tc>
          <w:tcPr>
            <w:tcW w:w="6941" w:type="dxa"/>
            <w:vMerge/>
          </w:tcPr>
          <w:p/>
        </w:tc>
      </w:tr>
      <w:tr>
        <w:trPr>
          <w:trHeight w:val="164"/>
        </w:trPr>
        <w:tc>
          <w:tcPr>
            <w:tcW w:w="2268" w:type="dxa"/>
            <w:gridSpan w:val="2"/>
          </w:tcPr>
          <w:p>
            <w:r>
              <w:t>Normal</w:t>
            </w:r>
          </w:p>
        </w:tc>
        <w:tc>
          <w:tcPr>
            <w:tcW w:w="6941" w:type="dxa"/>
            <w:vMerge w:val="restart"/>
          </w:tcPr>
          <w:p>
            <w:r>
              <w:object w:dxaOrig="16500" w:dyaOrig="9495">
                <v:shape id="_x0000_i1034" type="#_x0000_t75" style="width:334.75pt;height:193.45pt" o:ole="">
                  <v:imagedata r:id="rId25" o:title=""/>
                </v:shape>
                <o:OLEObject Type="Embed" ProgID="PBrush" ShapeID="_x0000_i1034" DrawAspect="Content" ObjectID="_1669729651" r:id="rId26"/>
              </w:object>
            </w:r>
          </w:p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7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2268" w:type="dxa"/>
            <w:gridSpan w:val="2"/>
          </w:tcPr>
          <w:p/>
        </w:tc>
        <w:tc>
          <w:tcPr>
            <w:tcW w:w="6941" w:type="dxa"/>
            <w:vMerge/>
          </w:tcPr>
          <w:p/>
        </w:tc>
      </w:tr>
      <w:tr>
        <w:trPr>
          <w:trHeight w:val="164"/>
        </w:trPr>
        <w:tc>
          <w:tcPr>
            <w:tcW w:w="2268" w:type="dxa"/>
            <w:gridSpan w:val="2"/>
          </w:tcPr>
          <w:p>
            <w:r>
              <w:t>Overweight</w:t>
            </w:r>
          </w:p>
        </w:tc>
        <w:tc>
          <w:tcPr>
            <w:tcW w:w="6941" w:type="dxa"/>
            <w:vMerge w:val="restart"/>
          </w:tcPr>
          <w:p>
            <w:r>
              <w:object w:dxaOrig="16410" w:dyaOrig="9510">
                <v:shape id="_x0000_i1035" type="#_x0000_t75" style="width:335.8pt;height:194.5pt" o:ole="">
                  <v:imagedata r:id="rId27" o:title=""/>
                </v:shape>
                <o:OLEObject Type="Embed" ProgID="PBrush" ShapeID="_x0000_i1035" DrawAspect="Content" ObjectID="_1669729652" r:id="rId28"/>
              </w:object>
            </w:r>
          </w:p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5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2268" w:type="dxa"/>
            <w:gridSpan w:val="2"/>
          </w:tcPr>
          <w:p/>
        </w:tc>
        <w:tc>
          <w:tcPr>
            <w:tcW w:w="6941" w:type="dxa"/>
            <w:vMerge/>
          </w:tcPr>
          <w:p/>
        </w:tc>
      </w:tr>
      <w:tr>
        <w:trPr>
          <w:trHeight w:val="164"/>
        </w:trPr>
        <w:tc>
          <w:tcPr>
            <w:tcW w:w="2268" w:type="dxa"/>
            <w:gridSpan w:val="2"/>
          </w:tcPr>
          <w:p>
            <w:r>
              <w:t>Obese</w:t>
            </w:r>
          </w:p>
        </w:tc>
        <w:tc>
          <w:tcPr>
            <w:tcW w:w="6941" w:type="dxa"/>
            <w:vMerge w:val="restart"/>
          </w:tcPr>
          <w:p>
            <w:r>
              <w:object w:dxaOrig="16410" w:dyaOrig="9585">
                <v:shape id="_x0000_i1036" type="#_x0000_t75" style="width:335.8pt;height:195.6pt" o:ole="">
                  <v:imagedata r:id="rId29" o:title=""/>
                </v:shape>
                <o:OLEObject Type="Embed" ProgID="PBrush" ShapeID="_x0000_i1036" DrawAspect="Content" ObjectID="_1669729653" r:id="rId30"/>
              </w:object>
            </w:r>
          </w:p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Annual interval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</w:rPr>
              <w:t>●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3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426" w:type="dxa"/>
            <w:tcBorders>
              <w:right w:val="nil"/>
            </w:tcBorders>
          </w:tcPr>
          <w:p>
            <w:r>
              <w:rPr>
                <w:rFonts w:hint="eastAsia"/>
                <w:shd w:val="pct15" w:color="auto" w:fill="FFFFFF"/>
              </w:rPr>
              <w:t>○</w:t>
            </w:r>
          </w:p>
        </w:tc>
        <w:tc>
          <w:tcPr>
            <w:tcW w:w="1842" w:type="dxa"/>
            <w:tcBorders>
              <w:left w:val="nil"/>
            </w:tcBorders>
          </w:tcPr>
          <w:p>
            <w:r>
              <w:t>Every 4 years</w:t>
            </w:r>
          </w:p>
        </w:tc>
        <w:tc>
          <w:tcPr>
            <w:tcW w:w="6941" w:type="dxa"/>
            <w:vMerge/>
          </w:tcPr>
          <w:p/>
        </w:tc>
      </w:tr>
      <w:tr>
        <w:trPr>
          <w:trHeight w:val="160"/>
        </w:trPr>
        <w:tc>
          <w:tcPr>
            <w:tcW w:w="2268" w:type="dxa"/>
            <w:gridSpan w:val="2"/>
          </w:tcPr>
          <w:p/>
        </w:tc>
        <w:tc>
          <w:tcPr>
            <w:tcW w:w="6941" w:type="dxa"/>
            <w:vMerge/>
          </w:tcPr>
          <w:p/>
        </w:tc>
      </w:tr>
    </w:tbl>
    <w:p>
      <w:r>
        <w:lastRenderedPageBreak/>
        <w:t>Appendix Figure 4: Age 30-44 years old: Monte Carlo Simulation % cost effectiveness strategies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6"/>
        <w:gridCol w:w="1790"/>
        <w:gridCol w:w="6866"/>
      </w:tblGrid>
      <w:tr>
        <w:trPr>
          <w:trHeight w:val="345"/>
        </w:trPr>
        <w:tc>
          <w:tcPr>
            <w:tcW w:w="2666" w:type="dxa"/>
            <w:gridSpan w:val="2"/>
          </w:tcPr>
          <w:p>
            <w:r>
              <w:t>Underweight</w:t>
            </w:r>
          </w:p>
        </w:tc>
        <w:tc>
          <w:tcPr>
            <w:tcW w:w="6866" w:type="dxa"/>
            <w:vMerge w:val="restart"/>
          </w:tcPr>
          <w:p>
            <w:r>
              <w:object w:dxaOrig="16380" w:dyaOrig="9675">
                <v:shape id="_x0000_i1037" type="#_x0000_t75" style="width:314.35pt;height:185.9pt" o:ole="">
                  <v:imagedata r:id="rId31" o:title=""/>
                </v:shape>
                <o:OLEObject Type="Embed" ProgID="PBrush" ShapeID="_x0000_i1037" DrawAspect="Content" ObjectID="_1669729654" r:id="rId32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10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08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  <w:tcBorders>
              <w:bottom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666" w:type="dxa"/>
            <w:gridSpan w:val="2"/>
            <w:tcBorders>
              <w:right w:val="single" w:sz="4" w:space="0" w:color="000000"/>
            </w:tcBorders>
          </w:tcPr>
          <w:p>
            <w:pPr>
              <w:rPr>
                <w:color w:val="A6A6A6" w:themeColor="background1" w:themeShade="A6"/>
              </w:rPr>
            </w:pPr>
            <w:r>
              <w:t>Normal</w:t>
            </w:r>
          </w:p>
        </w:tc>
        <w:tc>
          <w:tcPr>
            <w:tcW w:w="6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r>
              <w:object w:dxaOrig="16320" w:dyaOrig="9675">
                <v:shape id="_x0000_i1038" type="#_x0000_t75" style="width:309.5pt;height:183.75pt" o:ole="">
                  <v:imagedata r:id="rId36" o:title=""/>
                </v:shape>
                <o:OLEObject Type="Embed" ProgID="PBrush" ShapeID="_x0000_i1038" DrawAspect="Content" ObjectID="_1669729655" r:id="rId37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Every 6 years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66"/>
        </w:trPr>
        <w:tc>
          <w:tcPr>
            <w:tcW w:w="2666" w:type="dxa"/>
            <w:gridSpan w:val="2"/>
            <w:tcBorders>
              <w:right w:val="single" w:sz="4" w:space="0" w:color="000000"/>
            </w:tcBorders>
          </w:tcPr>
          <w:p/>
        </w:tc>
        <w:tc>
          <w:tcPr>
            <w:tcW w:w="6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666" w:type="dxa"/>
            <w:gridSpan w:val="2"/>
          </w:tcPr>
          <w:p>
            <w:r>
              <w:t>Overweight</w:t>
            </w:r>
          </w:p>
        </w:tc>
        <w:tc>
          <w:tcPr>
            <w:tcW w:w="6866" w:type="dxa"/>
            <w:vMerge w:val="restart"/>
            <w:tcBorders>
              <w:top w:val="single" w:sz="4" w:space="0" w:color="000000"/>
            </w:tcBorders>
          </w:tcPr>
          <w:p>
            <w:r>
              <w:object w:dxaOrig="16275" w:dyaOrig="9600">
                <v:shape id="_x0000_i1039" type="#_x0000_t75" style="width:309.5pt;height:182.7pt" o:ole="">
                  <v:imagedata r:id="rId38" o:title=""/>
                </v:shape>
                <o:OLEObject Type="Embed" ProgID="PBrush" ShapeID="_x0000_i1039" DrawAspect="Content" ObjectID="_1669729656" r:id="rId39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6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8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</w:tcPr>
          <w:p/>
        </w:tc>
      </w:tr>
      <w:tr>
        <w:trPr>
          <w:trHeight w:val="77"/>
        </w:trPr>
        <w:tc>
          <w:tcPr>
            <w:tcW w:w="2666" w:type="dxa"/>
            <w:gridSpan w:val="2"/>
          </w:tcPr>
          <w:p>
            <w:r>
              <w:t>Obese</w:t>
            </w:r>
          </w:p>
        </w:tc>
        <w:tc>
          <w:tcPr>
            <w:tcW w:w="6866" w:type="dxa"/>
            <w:vMerge w:val="restart"/>
          </w:tcPr>
          <w:p>
            <w:r>
              <w:object w:dxaOrig="16365" w:dyaOrig="9615">
                <v:shape id="_x0000_i1040" type="#_x0000_t75" style="width:296.05pt;height:174.65pt" o:ole="">
                  <v:imagedata r:id="rId40" o:title=""/>
                </v:shape>
                <o:OLEObject Type="Embed" ProgID="PBrush" ShapeID="_x0000_i1040" DrawAspect="Content" ObjectID="_1669729657" r:id="rId41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2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8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</w:tcPr>
          <w:p/>
        </w:tc>
      </w:tr>
    </w:tbl>
    <w:p/>
    <w:p>
      <w:pPr>
        <w:widowControl/>
        <w:jc w:val="left"/>
      </w:pPr>
      <w:r>
        <w:br w:type="page"/>
      </w:r>
      <w:r>
        <w:lastRenderedPageBreak/>
        <w:t>Appendix Figure 5: Age 45-59 years old: Monte Carlo Simulation % cost effectiveness strategies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6"/>
        <w:gridCol w:w="1790"/>
        <w:gridCol w:w="6866"/>
      </w:tblGrid>
      <w:tr>
        <w:trPr>
          <w:trHeight w:val="345"/>
        </w:trPr>
        <w:tc>
          <w:tcPr>
            <w:tcW w:w="2666" w:type="dxa"/>
            <w:gridSpan w:val="2"/>
          </w:tcPr>
          <w:p>
            <w:r>
              <w:t>Underweight</w:t>
            </w:r>
          </w:p>
        </w:tc>
        <w:tc>
          <w:tcPr>
            <w:tcW w:w="6866" w:type="dxa"/>
            <w:vMerge w:val="restart"/>
          </w:tcPr>
          <w:p>
            <w:r>
              <w:object w:dxaOrig="13890" w:dyaOrig="8130">
                <v:shape id="_x0000_i1041" type="#_x0000_t75" style="width:329.9pt;height:194.5pt" o:ole="">
                  <v:imagedata r:id="rId42" o:title=""/>
                </v:shape>
                <o:OLEObject Type="Embed" ProgID="PBrush" ShapeID="_x0000_i1041" DrawAspect="Content" ObjectID="_1669729658" r:id="rId43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10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52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  <w:tcBorders>
              <w:bottom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666" w:type="dxa"/>
            <w:gridSpan w:val="2"/>
            <w:tcBorders>
              <w:right w:val="single" w:sz="4" w:space="0" w:color="000000"/>
            </w:tcBorders>
          </w:tcPr>
          <w:p>
            <w:pPr>
              <w:rPr>
                <w:color w:val="A6A6A6" w:themeColor="background1" w:themeShade="A6"/>
              </w:rPr>
            </w:pPr>
            <w:r>
              <w:t>Normal</w:t>
            </w:r>
          </w:p>
        </w:tc>
        <w:tc>
          <w:tcPr>
            <w:tcW w:w="6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r>
              <w:object w:dxaOrig="13800" w:dyaOrig="8175">
                <v:shape id="_x0000_i1042" type="#_x0000_t75" style="width:329.9pt;height:197.2pt" o:ole="">
                  <v:imagedata r:id="rId44" o:title=""/>
                </v:shape>
                <o:OLEObject Type="Embed" ProgID="PBrush" ShapeID="_x0000_i1042" DrawAspect="Content" ObjectID="_1669729659" r:id="rId45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Every 6 years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803"/>
        </w:trPr>
        <w:tc>
          <w:tcPr>
            <w:tcW w:w="2666" w:type="dxa"/>
            <w:gridSpan w:val="2"/>
            <w:tcBorders>
              <w:right w:val="single" w:sz="4" w:space="0" w:color="000000"/>
            </w:tcBorders>
          </w:tcPr>
          <w:p/>
        </w:tc>
        <w:tc>
          <w:tcPr>
            <w:tcW w:w="6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666" w:type="dxa"/>
            <w:gridSpan w:val="2"/>
          </w:tcPr>
          <w:p>
            <w:r>
              <w:t>Overweight</w:t>
            </w:r>
          </w:p>
        </w:tc>
        <w:tc>
          <w:tcPr>
            <w:tcW w:w="6866" w:type="dxa"/>
            <w:vMerge w:val="restart"/>
            <w:tcBorders>
              <w:top w:val="single" w:sz="4" w:space="0" w:color="000000"/>
            </w:tcBorders>
          </w:tcPr>
          <w:p>
            <w:r>
              <w:object w:dxaOrig="13905" w:dyaOrig="8220">
                <v:shape id="_x0000_i1043" type="#_x0000_t75" style="width:330.45pt;height:194.5pt" o:ole="">
                  <v:imagedata r:id="rId46" o:title=""/>
                </v:shape>
                <o:OLEObject Type="Embed" ProgID="PBrush" ShapeID="_x0000_i1043" DrawAspect="Content" ObjectID="_1669729660" r:id="rId47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4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8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</w:tcPr>
          <w:p/>
        </w:tc>
      </w:tr>
      <w:tr>
        <w:trPr>
          <w:trHeight w:val="77"/>
        </w:trPr>
        <w:tc>
          <w:tcPr>
            <w:tcW w:w="2666" w:type="dxa"/>
            <w:gridSpan w:val="2"/>
          </w:tcPr>
          <w:p>
            <w:r>
              <w:t>Obese</w:t>
            </w:r>
          </w:p>
        </w:tc>
        <w:tc>
          <w:tcPr>
            <w:tcW w:w="6866" w:type="dxa"/>
            <w:vMerge w:val="restart"/>
          </w:tcPr>
          <w:p>
            <w:r>
              <w:object w:dxaOrig="13890" w:dyaOrig="8175">
                <v:shape id="_x0000_i1044" type="#_x0000_t75" style="width:321.3pt;height:188.6pt" o:ole="">
                  <v:imagedata r:id="rId48" o:title=""/>
                </v:shape>
                <o:OLEObject Type="Embed" ProgID="PBrush" ShapeID="_x0000_i1044" DrawAspect="Content" ObjectID="_1669729661" r:id="rId49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4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8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</w:tcPr>
          <w:p/>
        </w:tc>
      </w:tr>
    </w:tbl>
    <w:p>
      <w:r>
        <w:lastRenderedPageBreak/>
        <w:t>Appendix Figure 6: Age 60-74 years old: Monte Carlo Simulation % cost effectiveness strategies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6"/>
        <w:gridCol w:w="1790"/>
        <w:gridCol w:w="6866"/>
      </w:tblGrid>
      <w:tr>
        <w:trPr>
          <w:trHeight w:val="345"/>
        </w:trPr>
        <w:tc>
          <w:tcPr>
            <w:tcW w:w="2666" w:type="dxa"/>
            <w:gridSpan w:val="2"/>
          </w:tcPr>
          <w:p>
            <w:r>
              <w:t>Underweight</w:t>
            </w:r>
          </w:p>
        </w:tc>
        <w:tc>
          <w:tcPr>
            <w:tcW w:w="6866" w:type="dxa"/>
            <w:vMerge w:val="restart"/>
          </w:tcPr>
          <w:p>
            <w:r>
              <w:object w:dxaOrig="16275" w:dyaOrig="9570">
                <v:shape id="_x0000_i1045" type="#_x0000_t75" style="width:317.55pt;height:186.45pt" o:ole="">
                  <v:imagedata r:id="rId50" o:title=""/>
                </v:shape>
                <o:OLEObject Type="Embed" ProgID="PBrush" ShapeID="_x0000_i1045" DrawAspect="Content" ObjectID="_1669729662" r:id="rId51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6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382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  <w:tcBorders>
              <w:bottom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666" w:type="dxa"/>
            <w:gridSpan w:val="2"/>
            <w:tcBorders>
              <w:right w:val="single" w:sz="4" w:space="0" w:color="000000"/>
            </w:tcBorders>
          </w:tcPr>
          <w:p>
            <w:pPr>
              <w:rPr>
                <w:color w:val="A6A6A6" w:themeColor="background1" w:themeShade="A6"/>
              </w:rPr>
            </w:pPr>
            <w:r>
              <w:t>Normal</w:t>
            </w:r>
          </w:p>
        </w:tc>
        <w:tc>
          <w:tcPr>
            <w:tcW w:w="6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r>
              <w:object w:dxaOrig="13890" w:dyaOrig="8175">
                <v:shape id="_x0000_i1046" type="#_x0000_t75" style="width:316.5pt;height:185.35pt" o:ole="">
                  <v:imagedata r:id="rId52" o:title=""/>
                </v:shape>
                <o:OLEObject Type="Embed" ProgID="PBrush" ShapeID="_x0000_i1046" DrawAspect="Content" ObjectID="_1669729663" r:id="rId53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  <w:right w:val="single" w:sz="4" w:space="0" w:color="000000"/>
            </w:tcBorders>
            <w:vAlign w:val="center"/>
          </w:tcPr>
          <w:p>
            <w:r>
              <w:t>Every 7 years</w:t>
            </w:r>
          </w:p>
        </w:tc>
        <w:tc>
          <w:tcPr>
            <w:tcW w:w="6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870"/>
        </w:trPr>
        <w:tc>
          <w:tcPr>
            <w:tcW w:w="2666" w:type="dxa"/>
            <w:gridSpan w:val="2"/>
            <w:tcBorders>
              <w:right w:val="single" w:sz="4" w:space="0" w:color="000000"/>
            </w:tcBorders>
          </w:tcPr>
          <w:p/>
        </w:tc>
        <w:tc>
          <w:tcPr>
            <w:tcW w:w="6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77"/>
        </w:trPr>
        <w:tc>
          <w:tcPr>
            <w:tcW w:w="2666" w:type="dxa"/>
            <w:gridSpan w:val="2"/>
          </w:tcPr>
          <w:p>
            <w:r>
              <w:t>Overweight</w:t>
            </w:r>
          </w:p>
        </w:tc>
        <w:tc>
          <w:tcPr>
            <w:tcW w:w="6866" w:type="dxa"/>
            <w:vMerge w:val="restart"/>
            <w:tcBorders>
              <w:top w:val="single" w:sz="4" w:space="0" w:color="000000"/>
            </w:tcBorders>
          </w:tcPr>
          <w:p>
            <w:r>
              <w:object w:dxaOrig="13860" w:dyaOrig="8310">
                <v:shape id="_x0000_i1047" type="#_x0000_t75" style="width:322.4pt;height:193.45pt" o:ole="">
                  <v:imagedata r:id="rId54" o:title=""/>
                </v:shape>
                <o:OLEObject Type="Embed" ProgID="PBrush" ShapeID="_x0000_i1047" DrawAspect="Content" ObjectID="_1669729664" r:id="rId55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5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8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</w:tcPr>
          <w:p/>
        </w:tc>
      </w:tr>
      <w:tr>
        <w:trPr>
          <w:trHeight w:val="77"/>
        </w:trPr>
        <w:tc>
          <w:tcPr>
            <w:tcW w:w="2666" w:type="dxa"/>
            <w:gridSpan w:val="2"/>
          </w:tcPr>
          <w:p>
            <w:r>
              <w:t>Obese</w:t>
            </w:r>
          </w:p>
        </w:tc>
        <w:tc>
          <w:tcPr>
            <w:tcW w:w="6866" w:type="dxa"/>
            <w:vMerge w:val="restart"/>
          </w:tcPr>
          <w:p>
            <w:r>
              <w:object w:dxaOrig="13860" w:dyaOrig="8130">
                <v:shape id="_x0000_i1048" type="#_x0000_t75" style="width:322.4pt;height:189.15pt" o:ole="">
                  <v:imagedata r:id="rId56" o:title=""/>
                </v:shape>
                <o:OLEObject Type="Embed" ProgID="PBrush" ShapeID="_x0000_i1048" DrawAspect="Content" ObjectID="_1669729665" r:id="rId57"/>
              </w:object>
            </w:r>
          </w:p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629" cy="112434"/>
                  <wp:effectExtent l="0" t="0" r="1905" b="1905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4" cy="1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Annual interval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104775"/>
                  <wp:effectExtent l="0" t="0" r="0" b="952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nten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3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730"/>
        </w:trPr>
        <w:tc>
          <w:tcPr>
            <w:tcW w:w="876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>
                  <wp:extent cx="376813" cy="113755"/>
                  <wp:effectExtent l="0" t="0" r="4445" b="63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zari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78" cy="1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nil"/>
            </w:tcBorders>
            <w:vAlign w:val="center"/>
          </w:tcPr>
          <w:p>
            <w:r>
              <w:t>Every 4 years</w:t>
            </w:r>
          </w:p>
        </w:tc>
        <w:tc>
          <w:tcPr>
            <w:tcW w:w="6866" w:type="dxa"/>
            <w:vMerge/>
          </w:tcPr>
          <w:p/>
        </w:tc>
      </w:tr>
      <w:tr>
        <w:trPr>
          <w:trHeight w:val="884"/>
        </w:trPr>
        <w:tc>
          <w:tcPr>
            <w:tcW w:w="2666" w:type="dxa"/>
            <w:gridSpan w:val="2"/>
          </w:tcPr>
          <w:p/>
        </w:tc>
        <w:tc>
          <w:tcPr>
            <w:tcW w:w="6866" w:type="dxa"/>
            <w:vMerge/>
          </w:tcPr>
          <w:p/>
        </w:tc>
      </w:tr>
    </w:tbl>
    <w:p>
      <w:r>
        <w:br w:type="page"/>
      </w:r>
    </w:p>
    <w:sectPr>
      <w:pgSz w:w="11906" w:h="16838"/>
      <w:pgMar w:top="284" w:right="567" w:bottom="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C00B621-1BB7-4CB9-8AE3-63C90483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21" Type="http://schemas.openxmlformats.org/officeDocument/2006/relationships/image" Target="media/image8.png"/><Relationship Id="rId34" Type="http://schemas.openxmlformats.org/officeDocument/2006/relationships/image" Target="media/image15.jpg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3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jpg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7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A2106-059F-4A58-92EA-77D5F52B7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720</Words>
  <Characters>4104</Characters>
  <Application>Microsoft Office Word</Application>
  <DocSecurity>0</DocSecurity>
  <Lines>34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大出　幸子</dc:creator>
  <cp:keywords/>
  <dc:description/>
  <cp:lastModifiedBy>大出　幸子</cp:lastModifiedBy>
  <cp:revision>24</cp:revision>
  <dcterms:created xsi:type="dcterms:W3CDTF">2020-07-28T23:22:00Z</dcterms:created>
  <dcterms:modified xsi:type="dcterms:W3CDTF">2020-12-17T07:59:00Z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false</vt:bool>
  </property>
  <property fmtid="{D5CDD505-2E9C-101B-9397-08002B2CF9AE}" pid="3" name="LastTick">
    <vt:r8>44040.7635416667</vt:r8>
  </property>
  <property fmtid="{D5CDD505-2E9C-101B-9397-08002B2CF9AE}" pid="4" name="EditTotal">
    <vt:i4>0</vt:i4>
  </property>
</Properties>
</file>