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CA65" w14:textId="77777777" w:rsidR="00093C9D" w:rsidRPr="00814FEF" w:rsidRDefault="00093C9D" w:rsidP="00093C9D">
      <w:pPr>
        <w:widowControl/>
        <w:jc w:val="left"/>
        <w:rPr>
          <w:rFonts w:ascii="Yu Mincho" w:eastAsia="Yu Mincho" w:hAnsi="Yu Mincho" w:cs="Times New Roman"/>
        </w:rPr>
      </w:pPr>
      <w:bookmarkStart w:id="0" w:name="_Hlk2863514"/>
      <w:r w:rsidRPr="00814FEF">
        <w:rPr>
          <w:rFonts w:ascii="Yu Mincho" w:eastAsia="Yu Mincho" w:hAnsi="Yu Mincho" w:cs="Times New Roman" w:hint="eastAsia"/>
        </w:rPr>
        <w:t>Table 1</w:t>
      </w:r>
      <w:r>
        <w:rPr>
          <w:rFonts w:ascii="Yu Mincho" w:eastAsia="Yu Mincho" w:hAnsi="Yu Mincho" w:cs="Times New Roman"/>
        </w:rPr>
        <w:t>.</w:t>
      </w:r>
      <w:r w:rsidRPr="00814FEF">
        <w:rPr>
          <w:rFonts w:ascii="Yu Mincho" w:eastAsia="Yu Mincho" w:hAnsi="Yu Mincho" w:cs="Times New Roman" w:hint="eastAsia"/>
        </w:rPr>
        <w:t xml:space="preserve"> Treatment schedule and outcome measures.</w:t>
      </w:r>
    </w:p>
    <w:tbl>
      <w:tblPr>
        <w:tblStyle w:val="1"/>
        <w:tblW w:w="139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14"/>
        <w:gridCol w:w="1841"/>
        <w:gridCol w:w="1089"/>
        <w:gridCol w:w="731"/>
        <w:gridCol w:w="732"/>
        <w:gridCol w:w="732"/>
        <w:gridCol w:w="732"/>
        <w:gridCol w:w="732"/>
        <w:gridCol w:w="732"/>
        <w:gridCol w:w="732"/>
        <w:gridCol w:w="688"/>
        <w:gridCol w:w="1456"/>
        <w:gridCol w:w="1273"/>
        <w:gridCol w:w="1461"/>
      </w:tblGrid>
      <w:tr w:rsidR="00093C9D" w:rsidRPr="00814FEF" w14:paraId="4084D988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7BD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Items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4468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Before treatment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1E8F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Administration period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3B36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At the end of the test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68EE5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Post observation period</w:t>
            </w:r>
          </w:p>
        </w:tc>
      </w:tr>
      <w:tr w:rsidR="00093C9D" w:rsidRPr="00814FEF" w14:paraId="36DAE371" w14:textId="77777777" w:rsidTr="008C09D7">
        <w:trPr>
          <w:trHeight w:val="706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A1770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T</w:t>
            </w:r>
            <w:r>
              <w:rPr>
                <w:rFonts w:ascii="MS PGothic" w:eastAsia="MS PGothic" w:hAnsi="MS PGothic" w:cs="Arial"/>
                <w:szCs w:val="21"/>
              </w:rPr>
              <w:t>ime</w:t>
            </w:r>
            <w:r w:rsidRPr="00814FEF">
              <w:rPr>
                <w:rFonts w:ascii="MS PGothic" w:eastAsia="MS PGothic" w:hAnsi="MS PGothic" w:cs="Arial" w:hint="eastAsia"/>
                <w:szCs w:val="21"/>
              </w:rPr>
              <w:t xml:space="preserve"> </w:t>
            </w:r>
            <w:r>
              <w:rPr>
                <w:rFonts w:ascii="MS PGothic" w:eastAsia="MS PGothic" w:hAnsi="MS PGothic" w:cs="Arial"/>
                <w:szCs w:val="21"/>
              </w:rPr>
              <w:t>point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2062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286D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Day 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BD84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Day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5AE8E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Day 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5A59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Day 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4DD3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Day 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7CC3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Day 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150A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Day 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F5915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Day 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2244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Day 11</w:t>
            </w:r>
            <w:r>
              <w:rPr>
                <w:rFonts w:ascii="MS PGothic" w:eastAsia="MS PGothic" w:hAnsi="MS PGothic" w:cs="Arial"/>
                <w:szCs w:val="21"/>
              </w:rPr>
              <w:t xml:space="preserve"> </w:t>
            </w:r>
            <w:r w:rsidRPr="00814FEF">
              <w:rPr>
                <w:rFonts w:ascii="MS PGothic" w:eastAsia="MS PGothic" w:hAnsi="MS PGothic" w:cs="Arial" w:hint="eastAsia"/>
                <w:szCs w:val="21"/>
              </w:rPr>
              <w:t>or at discharge before Day 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67E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1</w:t>
            </w:r>
            <w:r>
              <w:rPr>
                <w:rFonts w:ascii="MS PGothic" w:eastAsia="MS PGothic" w:hAnsi="MS PGothic" w:cs="Arial"/>
                <w:szCs w:val="21"/>
              </w:rPr>
              <w:t xml:space="preserve"> w</w:t>
            </w:r>
            <w:r w:rsidRPr="00814FEF">
              <w:rPr>
                <w:rFonts w:ascii="MS PGothic" w:eastAsia="MS PGothic" w:hAnsi="MS PGothic" w:cs="Arial" w:hint="eastAsia"/>
                <w:szCs w:val="21"/>
              </w:rPr>
              <w:t>eek later</w:t>
            </w:r>
            <w:r>
              <w:rPr>
                <w:rFonts w:ascii="MS PGothic" w:eastAsia="MS PGothic" w:hAnsi="MS PGothic" w:cs="Arial"/>
                <w:szCs w:val="21"/>
              </w:rPr>
              <w:t xml:space="preserve"> </w:t>
            </w:r>
            <w:r w:rsidRPr="00814FEF">
              <w:rPr>
                <w:rFonts w:ascii="MS PGothic" w:eastAsia="MS PGothic" w:hAnsi="MS PGothic" w:cs="Arial" w:hint="eastAsia"/>
                <w:szCs w:val="21"/>
              </w:rPr>
              <w:t>（Day 17)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545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1</w:t>
            </w:r>
            <w:r>
              <w:rPr>
                <w:rFonts w:ascii="MS PGothic" w:eastAsia="MS PGothic" w:hAnsi="MS PGothic" w:cs="Arial"/>
                <w:szCs w:val="21"/>
              </w:rPr>
              <w:t xml:space="preserve"> y</w:t>
            </w:r>
            <w:r w:rsidRPr="00814FEF">
              <w:rPr>
                <w:rFonts w:ascii="MS PGothic" w:eastAsia="MS PGothic" w:hAnsi="MS PGothic" w:cs="Arial" w:hint="eastAsia"/>
                <w:szCs w:val="21"/>
              </w:rPr>
              <w:t>ear later</w:t>
            </w:r>
          </w:p>
          <w:p w14:paraId="4AE7BA1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（Day 365)</w:t>
            </w:r>
          </w:p>
        </w:tc>
      </w:tr>
      <w:tr w:rsidR="00093C9D" w:rsidRPr="00814FEF" w14:paraId="5C699B5B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2CC9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Tolerance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6E07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 w:val="24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 w:val="24"/>
                <w:szCs w:val="21"/>
              </w:rPr>
              <w:t>―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E90C5" w14:textId="77777777" w:rsidR="00093C9D" w:rsidRPr="00814FEF" w:rsidRDefault="00093C9D" w:rsidP="008C09D7">
            <w:pPr>
              <w:spacing w:line="260" w:lineRule="exact"/>
              <w:jc w:val="center"/>
            </w:pPr>
            <w:r w:rsidRPr="00814FEF">
              <w:rPr>
                <w:rFonts w:ascii="MS PGothic" w:eastAsia="MS PGothic" w:hAnsi="MS PGothic" w:cs="Arial" w:hint="eastAsia"/>
                <w:sz w:val="24"/>
                <w:szCs w:val="21"/>
              </w:rPr>
              <w:t>―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B759" w14:textId="77777777" w:rsidR="00093C9D" w:rsidRPr="00814FEF" w:rsidRDefault="00093C9D" w:rsidP="008C09D7">
            <w:pPr>
              <w:spacing w:line="260" w:lineRule="exact"/>
              <w:jc w:val="center"/>
            </w:pPr>
            <w:r w:rsidRPr="00814FEF">
              <w:rPr>
                <w:rFonts w:ascii="MS PGothic" w:eastAsia="MS PGothic" w:hAnsi="MS PGothic" w:cs="Arial" w:hint="eastAsia"/>
                <w:sz w:val="24"/>
                <w:szCs w:val="21"/>
              </w:rPr>
              <w:t>―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AACBE" w14:textId="77777777" w:rsidR="00093C9D" w:rsidRPr="00814FEF" w:rsidRDefault="00093C9D" w:rsidP="008C09D7">
            <w:pPr>
              <w:spacing w:line="260" w:lineRule="exact"/>
              <w:jc w:val="center"/>
            </w:pPr>
            <w:r w:rsidRPr="00814FEF">
              <w:rPr>
                <w:rFonts w:ascii="MS PGothic" w:eastAsia="MS PGothic" w:hAnsi="MS PGothic" w:cs="Arial" w:hint="eastAsia"/>
                <w:sz w:val="24"/>
                <w:szCs w:val="21"/>
              </w:rPr>
              <w:t>―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1E5F1" w14:textId="77777777" w:rsidR="00093C9D" w:rsidRPr="00814FEF" w:rsidRDefault="00093C9D" w:rsidP="008C09D7">
            <w:pPr>
              <w:spacing w:line="260" w:lineRule="exact"/>
              <w:jc w:val="center"/>
            </w:pPr>
            <w:r w:rsidRPr="00814FEF">
              <w:rPr>
                <w:rFonts w:ascii="MS PGothic" w:eastAsia="MS PGothic" w:hAnsi="MS PGothic" w:cs="Arial" w:hint="eastAsia"/>
                <w:sz w:val="24"/>
                <w:szCs w:val="21"/>
              </w:rPr>
              <w:t>―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1E21" w14:textId="77777777" w:rsidR="00093C9D" w:rsidRPr="00814FEF" w:rsidRDefault="00093C9D" w:rsidP="008C09D7">
            <w:pPr>
              <w:spacing w:line="260" w:lineRule="exact"/>
              <w:jc w:val="center"/>
            </w:pPr>
            <w:r w:rsidRPr="00814FEF">
              <w:rPr>
                <w:rFonts w:ascii="MS PGothic" w:eastAsia="MS PGothic" w:hAnsi="MS PGothic" w:cs="Arial" w:hint="eastAsia"/>
                <w:sz w:val="24"/>
                <w:szCs w:val="21"/>
              </w:rPr>
              <w:t>―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387B9" w14:textId="77777777" w:rsidR="00093C9D" w:rsidRPr="00814FEF" w:rsidRDefault="00093C9D" w:rsidP="008C09D7">
            <w:pPr>
              <w:spacing w:line="260" w:lineRule="exact"/>
              <w:jc w:val="center"/>
            </w:pPr>
            <w:r w:rsidRPr="00814FEF">
              <w:rPr>
                <w:rFonts w:ascii="MS PGothic" w:eastAsia="MS PGothic" w:hAnsi="MS PGothic" w:cs="Arial" w:hint="eastAsia"/>
                <w:sz w:val="24"/>
                <w:szCs w:val="21"/>
              </w:rPr>
              <w:t>―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A6C5F" w14:textId="77777777" w:rsidR="00093C9D" w:rsidRPr="00814FEF" w:rsidRDefault="00093C9D" w:rsidP="008C09D7">
            <w:pPr>
              <w:spacing w:line="260" w:lineRule="exact"/>
              <w:jc w:val="center"/>
            </w:pPr>
            <w:r w:rsidRPr="00814FEF">
              <w:rPr>
                <w:rFonts w:ascii="MS PGothic" w:eastAsia="MS PGothic" w:hAnsi="MS PGothic" w:cs="Arial" w:hint="eastAsia"/>
                <w:sz w:val="24"/>
                <w:szCs w:val="21"/>
              </w:rPr>
              <w:t>―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C39C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 w:val="24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142C9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 w:val="24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 w:val="24"/>
                <w:szCs w:val="21"/>
              </w:rPr>
              <w:t>―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FB6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(± 2 days）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87050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(± 14 days）</w:t>
            </w:r>
          </w:p>
        </w:tc>
      </w:tr>
      <w:tr w:rsidR="00093C9D" w:rsidRPr="00814FEF" w14:paraId="30957024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DA48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Acquisition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7EF6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7DD78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80E0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D65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0CEF8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0EF8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1523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3D2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12F7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761D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06A9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4F5C5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</w:tr>
      <w:tr w:rsidR="00093C9D" w:rsidRPr="00814FEF" w14:paraId="0FC80343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BEC4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Confirmation of patient background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4E39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B284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566F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E18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E30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DF28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6EA4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6A37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93DB5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114C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80AB0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ED25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</w:tr>
      <w:tr w:rsidR="00093C9D" w:rsidRPr="00814FEF" w14:paraId="71A448B9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1E8E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Administration of test drugs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084F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8CCA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  <w:r w:rsidRPr="00814F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D0F5A" wp14:editId="49C2AAA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88265</wp:posOffset>
                      </wp:positionV>
                      <wp:extent cx="3815715" cy="0"/>
                      <wp:effectExtent l="0" t="76200" r="13335" b="95250"/>
                      <wp:wrapNone/>
                      <wp:docPr id="8" name="直線矢印コネクタ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9A1D21F-7CCE-4D8F-89F2-FCF588D19B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5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55D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margin-left:14.4pt;margin-top:6.95pt;width:30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brAwIAAKQDAAAOAAAAZHJzL2Uyb0RvYy54bWysU0uOEzEQ3SNxB8t70kkmmRlF6cwiYdgg&#10;GAk4QMXt7rbkn8omnWzDei4ACyQuwEggseQwEco1KDuZMMAO0Qu3y+56Ve/V6+nV2mi2khiUsyUf&#10;9PqcSStcpWxT8jevr59cchYi2Aq0s7LkGxn41ezxo2nnJ3LoWqcriYxAbJh0vuRtjH5SFEG00kDo&#10;OS8tXdYODUQKsSkqhI7QjS6G/f550TmsPDohQ6DTxeGSzzJ+XUsRX9Z1kJHpklNvMa+Y12Vai9kU&#10;Jg2Cb5U4tgH/0IUBZanoCWoBEdhbVH9BGSXQBVfHnnCmcHWthMwciM2g/webVy14mbmQOMGfZAr/&#10;D1a8WN0gU1XJaVAWDI1o/+Hr/tv7/cdPP27vdtsvu3e3u+3n3fY7Gya1Oh8mlDS3N3iMgr/BRH1d&#10;o0lvIsXWWeHNSWG5jkzQ4dnlYHwxGHMm7u+KX4keQ3wmnWFpU/IQEVTTxrmzlubocJAVhtXzEKk0&#10;Jd4npKrWXSut8zi1ZV3Jz8/GNHABZKpaQ6St8UQz2IYz0A25VUTMiMFpVaXshBOwWc41shWQY0aj&#10;i+F8lGhTtd8+S6UXENrDd/nq4CWjIhlaK0OK9tNzOI6g9FNbsbjxJHFEBbbR8oisbaoss12P5JLM&#10;B2HTbumqTda7SBFZITd0tG3y2sOY9g9/rtlPAAAA//8DAFBLAwQUAAYACAAAACEAViwyhd0AAAAI&#10;AQAADwAAAGRycy9kb3ducmV2LnhtbEyPwU7DMBBE70j8g7VIXFDrEKTShDhVhcKBGxSE1JsbL3HU&#10;eB3Zbhv4ehZxKMeZWc28rVaTG8QRQ+w9KbidZyCQWm966hS8vz3NliBi0mT04AkVfGGEVX15UenS&#10;+BO94nGTOsElFEutwKY0llLG1qLTce5HJM4+fXA6sQydNEGfuNwNMs+yhXS6J16wesRHi+1+c3AK&#10;IqVt1jTtOvTP3zZ/udnr4qNR6vpqWj+ASDil8zH84jM61My08wcyUQwK8iWTJ/bvChCcL/LiHsTu&#10;z5B1Jf8/UP8AAAD//wMAUEsBAi0AFAAGAAgAAAAhALaDOJL+AAAA4QEAABMAAAAAAAAAAAAAAAAA&#10;AAAAAFtDb250ZW50X1R5cGVzXS54bWxQSwECLQAUAAYACAAAACEAOP0h/9YAAACUAQAACwAAAAAA&#10;AAAAAAAAAAAvAQAAX3JlbHMvLnJlbHNQSwECLQAUAAYACAAAACEADwym6wMCAACkAwAADgAAAAAA&#10;AAAAAAAAAAAuAgAAZHJzL2Uyb0RvYy54bWxQSwECLQAUAAYACAAAACEAViwyhd0AAAAIAQAADwAA&#10;AAAAAAAAAAAAAABdBAAAZHJzL2Rvd25yZXYueG1sUEsFBgAAAAAEAAQA8wAAAGc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A20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9B38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816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CA0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8F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5A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6624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2534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3299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F3655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</w:tr>
      <w:tr w:rsidR="00093C9D" w:rsidRPr="00814FEF" w14:paraId="58AFA052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C5F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Confirmation of subjective symptoms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63A3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48934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  <w:r w:rsidRPr="00814F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A13B9" wp14:editId="1F73837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100330</wp:posOffset>
                      </wp:positionV>
                      <wp:extent cx="3815715" cy="0"/>
                      <wp:effectExtent l="0" t="76200" r="13335" b="95250"/>
                      <wp:wrapNone/>
                      <wp:docPr id="7" name="直線矢印コネクタ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ABB46D5-1C22-4129-8C44-0E0935277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5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D1F82" id="直線矢印コネクタ 5" o:spid="_x0000_s1026" type="#_x0000_t32" style="position:absolute;margin-left:14.2pt;margin-top:7.9pt;width:30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gbAwIAAKQDAAAOAAAAZHJzL2Uyb0RvYy54bWysU0uOEzEQ3SNxB8t70kkmmYmidGaRMGwQ&#10;RAIOUHG7uy35p7LJZxvWcwFYIHEBRgKJJYeJUK5B2cmEAXaIXrir7K5X9Z5fT643RrOVxKCcLXmv&#10;0+VMWuEqZZuSv3l982TEWYhgK9DOypJvZeDX08ePJms/ln3XOl1JZARiw3jtS97G6MdFEUQrDYSO&#10;89LSYe3QQKQUm6JCWBO60UW/270s1g4rj07IEGh3fjzk04xf11LEl3UdZGS65DRbzCvmdZnWYjqB&#10;cYPgWyVOY8A/TGFAWWp6hppDBPYW1V9QRgl0wdWxI5wpXF0rITMHYtPr/sHmVQteZi4kTvBnmcL/&#10;gxUvVgtkqir5FWcWDF3R4cPXw7f3h4+fftze7Xdf9u9u97vP+913NkxqrX0YU9HMLvCUBb/ARH1T&#10;o0lvIsU2WeHtWWG5iUzQ5sWoN7zqDTkT92fFr0KPIT6TzrAUlDxEBNW0ceaspXt02MsKw+p5iNSa&#10;Cu8LUlfrbpTW+Tq1ZeuSX14M6cIFkKlqDZFC44lmsA1noBtyq4iYEYPTqkrVCSdgs5xpZCsgxwwG&#10;V/3ZINGmbr99llrPIbTH7/LR0UtGRTK0Vqbko256jtsRlH5qKxa3niSOqMA2Wp6QtU2dZbbriVyS&#10;+Shsipau2ma9i5SRFfJAJ9smrz3MKX74c01/AgAA//8DAFBLAwQUAAYACAAAACEAEtSQtN0AAAAI&#10;AQAADwAAAGRycy9kb3ducmV2LnhtbEyPwU7DMBBE70j8g7VIXBB1CFC1IU5VoXDgBgUhcdvGSxw1&#10;Xkex2wa+nkUc4Lgzo9k35WryvTrQGLvABq5mGSjiJtiOWwOvLw+XC1AxIVvsA5OBT4qwqk5PSixs&#10;OPIzHTapVVLCsUADLqWh0Do2jjzGWRiIxfsIo8ck59hqO+JRyn2v8yyba48dyweHA907anabvTcQ&#10;Ob1ndd2sx+7xy+VPFztcvtXGnJ9N6ztQiab0F4YffEGHSpi2Yc82qt5AvriRpOi3skD8eb68BrX9&#10;FXRV6v8Dqm8AAAD//wMAUEsBAi0AFAAGAAgAAAAhALaDOJL+AAAA4QEAABMAAAAAAAAAAAAAAAAA&#10;AAAAAFtDb250ZW50X1R5cGVzXS54bWxQSwECLQAUAAYACAAAACEAOP0h/9YAAACUAQAACwAAAAAA&#10;AAAAAAAAAAAvAQAAX3JlbHMvLnJlbHNQSwECLQAUAAYACAAAACEA/Z64GwMCAACkAwAADgAAAAAA&#10;AAAAAAAAAAAuAgAAZHJzL2Uyb0RvYy54bWxQSwECLQAUAAYACAAAACEAEtSQtN0AAAAIAQAADwAA&#10;AAAAAAAAAAAAAABdBAAAZHJzL2Rvd25yZXYueG1sUEsFBgAAAAAEAAQA8wAAAGc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06A55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BFB9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EEED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CE5E0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985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F426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24CE5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CB5D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A0D3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013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</w:tr>
      <w:tr w:rsidR="00093C9D" w:rsidRPr="00814FEF" w14:paraId="66283434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65CB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Observation of adverse events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03DD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14A9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  <w:r w:rsidRPr="00814F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81FBD" wp14:editId="5A365A8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119380</wp:posOffset>
                      </wp:positionV>
                      <wp:extent cx="3815715" cy="0"/>
                      <wp:effectExtent l="0" t="76200" r="13335" b="95250"/>
                      <wp:wrapNone/>
                      <wp:docPr id="2" name="直線矢印コネクタ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09FE48-BDDD-4360-BFAF-302B7B3C4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5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44E26" id="直線矢印コネクタ 3" o:spid="_x0000_s1026" type="#_x0000_t32" style="position:absolute;margin-left:14.2pt;margin-top:9.4pt;width:300.4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KHCQIAAK4DAAAOAAAAZHJzL2Uyb0RvYy54bWysU0uOEzEQ3SNxB8t70vnORFE6s0gYNghG&#10;4rN33Ha3Jf9UNulkG9ZzAVggcYFBAoklh4lQrkHZnYkG2CF6YVW5XK+qXr2eX22NJhsBQTlb0kGv&#10;T4mw3FXK1iV98/r6yZSSEJmtmHZWlHQnAr1aPH40b/1MDF3jdCWAIIgNs9aXtInRz4oi8EYYFnrO&#10;C4tB6cCwiC7URQWsRXSji2G/f1G0DioPjosQ8HbVBeki40speHwpZRCR6JJibzGfkM91OovFnM1q&#10;YL5R/NQG+4cuDFMWi56hViwy8g7UX1BGcXDBydjjzhROSsVFngGnGfT/mOZVw7zIsyA5wZ9pCv8P&#10;lr/Y3ABRVUmHlFhmcEXHj9+O3z8cP33+efvlsP96eH972N8d9j/IKLHV+jDDpKW9gZMX/A2k0bcS&#10;DJFa+bcohEwGjke2mevdmWuxjYTj5Wg6mFwOJpTw+1jRQSQoDyE+E86QZJQ0RGCqbuLSWYsbddDB&#10;s83zELEJTLxPSMnWXSut82K1JW1JL0YTXD1nKC+pWUTTeBw42JoSpmvULY+QGw5OqyplJ5wA9Xqp&#10;gWwYamc8vhwux4kArPbbs1R6xULTvcuhTlVGRZS2Vqak0376uuvIlH5qKxJ3HsmOoJittTgha5sq&#10;iyzc03CJ8I7iZK1dtcvMF8lDUeSGTgJOqnvoo/3wN1v8AgAA//8DAFBLAwQUAAYACAAAACEAah9r&#10;9dwAAAAIAQAADwAAAGRycy9kb3ducmV2LnhtbEyPQU+DQBCF7yb+h82Y9GYXaUMQWRrTpIm9acX7&#10;wk6BlJ0l7LaF/nrHeNDjvPfy5nv5ZrK9uODoO0cKnpYRCKTamY4aBeXn7jEF4YMmo3tHqGBGD5vi&#10;/i7XmXFX+sDLITSCS8hnWkEbwpBJ6esWrfZLNyCxd3Sj1YHPsZFm1Fcut72MoyiRVnfEH1o94LbF&#10;+nQ4WwX7t1OzTobt8et93pVpfCsrOUdKLR6m1xcQAafwF4YffEaHgpkqdybjRa8gTtecZD3lBewn&#10;8fMKRPUryCKX/wcU3wAAAP//AwBQSwECLQAUAAYACAAAACEAtoM4kv4AAADhAQAAEwAAAAAAAAAA&#10;AAAAAAAAAAAAW0NvbnRlbnRfVHlwZXNdLnhtbFBLAQItABQABgAIAAAAIQA4/SH/1gAAAJQBAAAL&#10;AAAAAAAAAAAAAAAAAC8BAABfcmVscy8ucmVsc1BLAQItABQABgAIAAAAIQD2wjKHCQIAAK4DAAAO&#10;AAAAAAAAAAAAAAAAAC4CAABkcnMvZTJvRG9jLnhtbFBLAQItABQABgAIAAAAIQBqH2v13AAAAAgB&#10;AAAPAAAAAAAAAAAAAAAAAGMEAABkcnMvZG93bnJldi54bWxQSwUGAAAAAAQABADzAAAAb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249A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120C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25AB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EE6B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5B1D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4DAF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0858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053E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0A5E8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983F5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</w:tr>
      <w:tr w:rsidR="00093C9D" w:rsidRPr="00814FEF" w14:paraId="56BDABD2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7A5CE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Blood pressure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08D6E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E744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8DEE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4978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645D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18E7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22FF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7B37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C725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B171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2DDD8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5A2A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</w:tr>
      <w:tr w:rsidR="00093C9D" w:rsidRPr="00814FEF" w14:paraId="2D252C2E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5783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Estimation of body temperature and abdominal pain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2E460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0086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EFC8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DDB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C0D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3F2E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9A39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5A96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FB9B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391C5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BFD9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B9D0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</w:tr>
      <w:tr w:rsidR="00093C9D" w:rsidRPr="00814FEF" w14:paraId="02E5D2C4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CB17D" w14:textId="77777777" w:rsidR="00093C9D" w:rsidRPr="00814FEF" w:rsidRDefault="00093C9D" w:rsidP="008C09D7">
            <w:pPr>
              <w:spacing w:line="260" w:lineRule="exact"/>
              <w:ind w:firstLineChars="450" w:firstLine="945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Weight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1B48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811D0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01FD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8B29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495D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FD54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44248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F718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7E00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2940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4A13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96CF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</w:tr>
      <w:tr w:rsidR="00093C9D" w:rsidRPr="00814FEF" w14:paraId="3A31E8C9" w14:textId="77777777" w:rsidTr="008C09D7">
        <w:trPr>
          <w:trHeight w:val="307"/>
          <w:jc w:val="center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361E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LAB data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087D5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Hematology examination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7D2D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617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8DB0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03C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94669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EDE7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88D0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67E8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039F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B779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6C52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729F8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</w:tr>
      <w:tr w:rsidR="00093C9D" w:rsidRPr="00814FEF" w14:paraId="164AA2F9" w14:textId="77777777" w:rsidTr="008C09D7">
        <w:trPr>
          <w:trHeight w:val="307"/>
          <w:jc w:val="center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2AC2" w14:textId="77777777" w:rsidR="00093C9D" w:rsidRPr="00814FEF" w:rsidRDefault="00093C9D" w:rsidP="008C09D7">
            <w:pPr>
              <w:widowControl/>
              <w:jc w:val="left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10FBE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napToGrid w:val="0"/>
                <w:kern w:val="0"/>
                <w:szCs w:val="21"/>
              </w:rPr>
              <w:t>Blood biochemical examination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DFD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9F43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B583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34B0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3509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CDD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4E63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1804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441E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1D1C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81D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4AD5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</w:tr>
      <w:tr w:rsidR="00093C9D" w:rsidRPr="00814FEF" w14:paraId="1F964528" w14:textId="77777777" w:rsidTr="008C09D7">
        <w:trPr>
          <w:trHeight w:val="307"/>
          <w:jc w:val="center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DF0E" w14:textId="77777777" w:rsidR="00093C9D" w:rsidRPr="00814FEF" w:rsidRDefault="00093C9D" w:rsidP="008C09D7">
            <w:pPr>
              <w:widowControl/>
              <w:jc w:val="left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2C098E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Urine examination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7774E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CBFC50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9B466E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E9BAB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AD90C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98950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9B4E1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0ED87E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9405F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B64E78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ED14B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411A2F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</w:tr>
      <w:tr w:rsidR="00093C9D" w:rsidRPr="00814FEF" w14:paraId="6CADF9D6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DF54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 xml:space="preserve">Confirmation of </w:t>
            </w:r>
            <w:r>
              <w:rPr>
                <w:rFonts w:ascii="MS PGothic" w:eastAsia="MS PGothic" w:hAnsi="MS PGothic" w:cs="Arial"/>
                <w:szCs w:val="21"/>
              </w:rPr>
              <w:t>c</w:t>
            </w:r>
            <w:r w:rsidRPr="00814FEF">
              <w:rPr>
                <w:rFonts w:ascii="MS PGothic" w:eastAsia="MS PGothic" w:hAnsi="MS PGothic" w:cs="Arial" w:hint="eastAsia"/>
                <w:szCs w:val="21"/>
              </w:rPr>
              <w:t>oncomitant medication and supportive care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F8483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B7E1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  <w:r w:rsidRPr="00814F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3B7761" wp14:editId="6E5FC6F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116205</wp:posOffset>
                      </wp:positionV>
                      <wp:extent cx="3815715" cy="0"/>
                      <wp:effectExtent l="0" t="76200" r="13335" b="95250"/>
                      <wp:wrapNone/>
                      <wp:docPr id="1" name="直線矢印コネクタ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60C0887-BDD5-4FBB-A969-DA84FFC4BD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5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050B0" id="直線矢印コネクタ 4" o:spid="_x0000_s1026" type="#_x0000_t32" style="position:absolute;margin-left:13.6pt;margin-top:9.15pt;width:300.4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PJCQIAAK4DAAAOAAAAZHJzL2Uyb0RvYy54bWysU72OEzEQ7pF4B8s92SSX3EVRNlckHA2C&#10;SPz0E6+9a8l/sk02aUN9LwAFEi9wSCBR8jARymsw9uaiAzrEFpZnxvPNzDffzq63WpEN90FaU9JB&#10;r08JN8xW0tQlffP65smEkhDBVKCs4SXd8UCv548fzVo35UPbWFVxTxDEhGnrStrE6KZFEVjDNYSe&#10;ddxgUFivIaLp66Ly0CK6VsWw378sWusr5y3jIaB32QXpPOMLwVl8KUTgkaiSYm8xnz6f63QW8xlM&#10;aw+ukezUBvxDFxqkwaJnqCVEIO+8/AtKS+ZtsCL2mNWFFUIynmfAaQb9P6Z51YDjeRYkJ7gzTeH/&#10;wbIXm5UnssLdUWJA44qOH78dv384fvr88/bLYf/18P72sL877H+QUWKrdWGKSQuz8icruJVPo2+F&#10;10Qo6d4msOTB8cg2c707c823kTB0XkwG46vBmBJ2Hys6iJTofIjPuNUkXUoaogdZN3FhjcGNWt/B&#10;w+Z5iNgEJt4npGRjb6RSebHKkLaklxdjXD0DlJdQEPGqHQ4cTE0JqBp1y6LPDQerZJWyE07w9Xqh&#10;PNkAamc0uhouMgFY7bdnqfQSQtO9y6FOVVpGlLaSuqSTfvo6dwSpnpqKxJ1DsqOXYGrFUwyRlUmV&#10;eRbuabhEeEdxuq1ttcvMF8lCUeS0k4CT6h7aeH/4m81/AQAA//8DAFBLAwQUAAYACAAAACEAhJBn&#10;q9wAAAAIAQAADwAAAGRycy9kb3ducmV2LnhtbEyPwU7DMBBE70j8g7VI3KhTg0IU4lSoUiW4QQl3&#10;J94mUeN1FLttwteziAMcd2Y0+6bYzG4QZ5xC70nDepWAQGq87anVUH3s7jIQIRqyZvCEGhYMsCmv&#10;rwqTW3+hdzzvYyu4hEJuNHQxjrmUoenQmbDyIxJ7Bz85E/mcWmknc+FyN0iVJKl0pif+0JkRtx02&#10;x/3JaXh9ObYP6bg9fL4tuypTX1Utl0Tr25v5+QlExDn+heEHn9GhZKban8gGMWhQj4qTrGf3INhP&#10;VbYGUf8Ksizk/wHlNwAAAP//AwBQSwECLQAUAAYACAAAACEAtoM4kv4AAADhAQAAEwAAAAAAAAAA&#10;AAAAAAAAAAAAW0NvbnRlbnRfVHlwZXNdLnhtbFBLAQItABQABgAIAAAAIQA4/SH/1gAAAJQBAAAL&#10;AAAAAAAAAAAAAAAAAC8BAABfcmVscy8ucmVsc1BLAQItABQABgAIAAAAIQAxLsPJCQIAAK4DAAAO&#10;AAAAAAAAAAAAAAAAAC4CAABkcnMvZTJvRG9jLnhtbFBLAQItABQABgAIAAAAIQCEkGer3AAAAAgB&#10;AAAPAAAAAAAAAAAAAAAAAGMEAABkcnMvZG93bnJldi54bWxQSwUGAAAAAAQABADzAAAAb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075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132C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50A4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7281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906D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7565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4BD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napToGrid w:val="0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4B4CB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8B319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BC0BD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</w:tr>
      <w:tr w:rsidR="00093C9D" w:rsidRPr="00814FEF" w14:paraId="0AFBA03B" w14:textId="77777777" w:rsidTr="008C09D7">
        <w:trPr>
          <w:trHeight w:val="30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6652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CT scan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35DE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  <w:r w:rsidRPr="00814FEF">
              <w:rPr>
                <w:rFonts w:ascii="MS PGothic" w:eastAsia="MS PGothic" w:hAnsi="MS PGothic" w:cs="Arial" w:hint="eastAsia"/>
                <w:szCs w:val="21"/>
              </w:rPr>
              <w:t>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9E32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A2E1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86CDA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4BC3E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65037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048F0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AFBC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AAE6E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28C6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1081C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0F8F6" w14:textId="77777777" w:rsidR="00093C9D" w:rsidRPr="00814FEF" w:rsidRDefault="00093C9D" w:rsidP="008C09D7">
            <w:pPr>
              <w:spacing w:line="260" w:lineRule="exact"/>
              <w:jc w:val="center"/>
              <w:rPr>
                <w:rFonts w:ascii="MS PGothic" w:eastAsia="MS PGothic" w:hAnsi="MS PGothic" w:cs="Arial"/>
                <w:szCs w:val="21"/>
              </w:rPr>
            </w:pPr>
          </w:p>
        </w:tc>
      </w:tr>
      <w:bookmarkEnd w:id="0"/>
    </w:tbl>
    <w:p w14:paraId="723EA703" w14:textId="77777777" w:rsidR="00093C9D" w:rsidRPr="00814FEF" w:rsidRDefault="00093C9D" w:rsidP="00093C9D">
      <w:pPr>
        <w:spacing w:line="20" w:lineRule="exact"/>
        <w:rPr>
          <w:rFonts w:ascii="Yu Mincho" w:eastAsia="Yu Mincho" w:hAnsi="Yu Mincho" w:cs="Times New Roman"/>
        </w:rPr>
      </w:pPr>
    </w:p>
    <w:p w14:paraId="689A050A" w14:textId="77777777" w:rsidR="00093C9D" w:rsidRPr="00814FEF" w:rsidRDefault="00093C9D" w:rsidP="00093C9D">
      <w:pPr>
        <w:spacing w:line="20" w:lineRule="exact"/>
        <w:rPr>
          <w:rFonts w:ascii="Yu Mincho" w:eastAsia="Yu Mincho" w:hAnsi="Yu Mincho" w:cs="Times New Roman"/>
        </w:rPr>
      </w:pPr>
    </w:p>
    <w:p w14:paraId="77C040A6" w14:textId="77777777" w:rsidR="00093C9D" w:rsidRPr="005D0092" w:rsidRDefault="00093C9D" w:rsidP="00093C9D">
      <w:pPr>
        <w:widowControl/>
        <w:spacing w:line="40" w:lineRule="exact"/>
        <w:jc w:val="left"/>
        <w:rPr>
          <w:color w:val="000000" w:themeColor="text1"/>
        </w:rPr>
      </w:pPr>
    </w:p>
    <w:p w14:paraId="287B9C37" w14:textId="77777777" w:rsidR="00E95803" w:rsidRDefault="00E95803"/>
    <w:sectPr w:rsidR="00E95803" w:rsidSect="00057A93">
      <w:pgSz w:w="16838" w:h="11906" w:orient="landscape"/>
      <w:pgMar w:top="1701" w:right="1985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9D"/>
    <w:rsid w:val="00093C9D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36B1"/>
  <w15:chartTrackingRefBased/>
  <w15:docId w15:val="{71750B54-EE0B-49F7-96D0-680B902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9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 (格子)1"/>
    <w:basedOn w:val="TableNormal"/>
    <w:next w:val="TableGrid"/>
    <w:uiPriority w:val="39"/>
    <w:rsid w:val="00093C9D"/>
    <w:pPr>
      <w:spacing w:after="0" w:line="240" w:lineRule="auto"/>
    </w:pPr>
    <w:rPr>
      <w:rFonts w:ascii="Yu Mincho" w:eastAsia="Yu Mincho" w:hAnsi="Yu Mincho" w:cs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9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2020-05-13T03:53:00Z</dcterms:created>
  <dcterms:modified xsi:type="dcterms:W3CDTF">2020-05-13T03:53:00Z</dcterms:modified>
</cp:coreProperties>
</file>