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556BF" w14:textId="77777777" w:rsidR="002F0958" w:rsidRPr="003A6624" w:rsidRDefault="002F0958" w:rsidP="002F0958">
      <w:pPr>
        <w:jc w:val="center"/>
        <w:rPr>
          <w:sz w:val="28"/>
          <w:szCs w:val="28"/>
        </w:rPr>
      </w:pPr>
      <w:r w:rsidRPr="003A6624">
        <w:rPr>
          <w:sz w:val="28"/>
          <w:szCs w:val="28"/>
        </w:rPr>
        <w:t>Exosomes derived from miR-301a-3p-modified adipose-derived mesenchymal stem cells reverse hypoxia-induced erectile dysfunction in rat models</w:t>
      </w:r>
    </w:p>
    <w:p w14:paraId="1D6D9AAE" w14:textId="77777777" w:rsidR="002F0958" w:rsidRDefault="002F0958" w:rsidP="002F0958">
      <w:r w:rsidRPr="003A6624">
        <w:t xml:space="preserve">Li </w:t>
      </w:r>
      <w:r>
        <w:t>L</w:t>
      </w:r>
      <w:r w:rsidRPr="003A6624">
        <w:t>iang</w:t>
      </w:r>
      <w:r w:rsidRPr="00054A4F">
        <w:rPr>
          <w:vertAlign w:val="superscript"/>
        </w:rPr>
        <w:t>b</w:t>
      </w:r>
      <w:r>
        <w:rPr>
          <w:vertAlign w:val="superscript"/>
        </w:rPr>
        <w:t>,1</w:t>
      </w:r>
      <w:r>
        <w:t xml:space="preserve">, </w:t>
      </w:r>
      <w:r w:rsidRPr="003A6624">
        <w:t>Dachao</w:t>
      </w:r>
      <w:r w:rsidRPr="00054A4F">
        <w:rPr>
          <w:vertAlign w:val="superscript"/>
        </w:rPr>
        <w:t>a</w:t>
      </w:r>
      <w:r>
        <w:rPr>
          <w:vertAlign w:val="superscript"/>
        </w:rPr>
        <w:t>,1</w:t>
      </w:r>
      <w:r w:rsidRPr="003A6624">
        <w:t xml:space="preserve"> </w:t>
      </w:r>
      <w:r>
        <w:t>Z</w:t>
      </w:r>
      <w:r w:rsidRPr="003A6624">
        <w:t>heng</w:t>
      </w:r>
      <w:r>
        <w:t xml:space="preserve">, </w:t>
      </w:r>
      <w:r w:rsidRPr="003A6624">
        <w:t>Chao Lu</w:t>
      </w:r>
      <w:r w:rsidRPr="00054A4F">
        <w:rPr>
          <w:vertAlign w:val="superscript"/>
        </w:rPr>
        <w:t>a</w:t>
      </w:r>
      <w:r>
        <w:t xml:space="preserve">, </w:t>
      </w:r>
      <w:proofErr w:type="spellStart"/>
      <w:r w:rsidRPr="003A6624">
        <w:t>Qinghong</w:t>
      </w:r>
      <w:proofErr w:type="spellEnd"/>
      <w:r w:rsidRPr="003A6624">
        <w:t xml:space="preserve"> Xi</w:t>
      </w:r>
      <w:r w:rsidRPr="00054A4F">
        <w:rPr>
          <w:vertAlign w:val="superscript"/>
        </w:rPr>
        <w:t>a</w:t>
      </w:r>
      <w:r>
        <w:t xml:space="preserve">, Hua </w:t>
      </w:r>
      <w:proofErr w:type="spellStart"/>
      <w:r>
        <w:t>Bao</w:t>
      </w:r>
      <w:r w:rsidRPr="00054A4F">
        <w:rPr>
          <w:vertAlign w:val="superscript"/>
        </w:rPr>
        <w:t>a</w:t>
      </w:r>
      <w:proofErr w:type="spellEnd"/>
      <w:r>
        <w:t xml:space="preserve">, </w:t>
      </w:r>
      <w:proofErr w:type="spellStart"/>
      <w:r w:rsidRPr="003A6624">
        <w:t>Wengfeng</w:t>
      </w:r>
      <w:proofErr w:type="spellEnd"/>
      <w:r w:rsidRPr="003A6624">
        <w:t xml:space="preserve"> Li</w:t>
      </w:r>
      <w:r w:rsidRPr="00054A4F">
        <w:rPr>
          <w:vertAlign w:val="superscript"/>
        </w:rPr>
        <w:t>a</w:t>
      </w:r>
      <w:r>
        <w:t xml:space="preserve">, </w:t>
      </w:r>
      <w:proofErr w:type="spellStart"/>
      <w:r w:rsidRPr="003D30FE">
        <w:t>Yufei</w:t>
      </w:r>
      <w:proofErr w:type="spellEnd"/>
      <w:r w:rsidRPr="003D30FE">
        <w:t xml:space="preserve"> </w:t>
      </w:r>
      <w:proofErr w:type="spellStart"/>
      <w:r w:rsidRPr="003D30FE">
        <w:t>Gu</w:t>
      </w:r>
      <w:r w:rsidRPr="00054A4F">
        <w:rPr>
          <w:vertAlign w:val="superscript"/>
        </w:rPr>
        <w:t>a</w:t>
      </w:r>
      <w:proofErr w:type="spellEnd"/>
      <w:r>
        <w:t xml:space="preserve">, </w:t>
      </w:r>
      <w:proofErr w:type="spellStart"/>
      <w:r w:rsidRPr="003D30FE">
        <w:t>Yuanshen</w:t>
      </w:r>
      <w:proofErr w:type="spellEnd"/>
      <w:r w:rsidRPr="003D30FE">
        <w:t xml:space="preserve"> </w:t>
      </w:r>
      <w:proofErr w:type="spellStart"/>
      <w:r w:rsidRPr="003D30FE">
        <w:t>Mao</w:t>
      </w:r>
      <w:r w:rsidRPr="00054A4F">
        <w:rPr>
          <w:vertAlign w:val="superscript"/>
        </w:rPr>
        <w:t>a</w:t>
      </w:r>
      <w:proofErr w:type="spellEnd"/>
      <w:r>
        <w:t xml:space="preserve">, </w:t>
      </w:r>
      <w:r w:rsidRPr="003D30FE">
        <w:t xml:space="preserve">Bin </w:t>
      </w:r>
      <w:proofErr w:type="spellStart"/>
      <w:r w:rsidRPr="003D30FE">
        <w:t>Xu</w:t>
      </w:r>
      <w:r w:rsidRPr="00054A4F">
        <w:rPr>
          <w:vertAlign w:val="superscript"/>
        </w:rPr>
        <w:t>a</w:t>
      </w:r>
      <w:proofErr w:type="spellEnd"/>
      <w:r>
        <w:t xml:space="preserve">, </w:t>
      </w:r>
      <w:r w:rsidRPr="003D30FE">
        <w:t xml:space="preserve">Xin </w:t>
      </w:r>
      <w:proofErr w:type="spellStart"/>
      <w:r w:rsidRPr="003D30FE">
        <w:t>Gu</w:t>
      </w:r>
      <w:r w:rsidRPr="00054A4F">
        <w:rPr>
          <w:vertAlign w:val="superscript"/>
        </w:rPr>
        <w:t>a</w:t>
      </w:r>
      <w:proofErr w:type="spellEnd"/>
    </w:p>
    <w:p w14:paraId="10D3CF05" w14:textId="77777777" w:rsidR="002F0958" w:rsidRPr="00054A4F" w:rsidRDefault="002F0958" w:rsidP="002F0958">
      <w:pPr>
        <w:rPr>
          <w:i/>
          <w:iCs/>
        </w:rPr>
      </w:pPr>
      <w:r w:rsidRPr="00054A4F">
        <w:rPr>
          <w:rFonts w:hint="eastAsia"/>
          <w:i/>
          <w:iCs/>
        </w:rPr>
        <w:t>a</w:t>
      </w:r>
      <w:r w:rsidRPr="00054A4F">
        <w:rPr>
          <w:i/>
          <w:iCs/>
        </w:rPr>
        <w:t xml:space="preserve"> </w:t>
      </w:r>
      <w:bookmarkStart w:id="0" w:name="_Hlk46498845"/>
      <w:r w:rsidRPr="00054A4F">
        <w:rPr>
          <w:i/>
          <w:iCs/>
        </w:rPr>
        <w:t>Department of Urology, Shanghai Ninth People’s Hospital, Shanghai Jiao Tong University School of Medicine, 201999, China</w:t>
      </w:r>
      <w:bookmarkEnd w:id="0"/>
      <w:r>
        <w:rPr>
          <w:i/>
          <w:iCs/>
        </w:rPr>
        <w:t>.</w:t>
      </w:r>
    </w:p>
    <w:p w14:paraId="28B9A312" w14:textId="77777777" w:rsidR="002F0958" w:rsidRPr="00054A4F" w:rsidRDefault="002F0958" w:rsidP="002F0958">
      <w:pPr>
        <w:rPr>
          <w:i/>
          <w:iCs/>
        </w:rPr>
      </w:pPr>
      <w:r w:rsidRPr="00054A4F">
        <w:rPr>
          <w:rFonts w:hint="eastAsia"/>
          <w:i/>
          <w:iCs/>
        </w:rPr>
        <w:t>b</w:t>
      </w:r>
      <w:r w:rsidRPr="00054A4F">
        <w:rPr>
          <w:i/>
          <w:iCs/>
        </w:rPr>
        <w:t xml:space="preserve"> Department of Respiratory Medicine, Shanghai Ninth People’s Hospital, Shanghai Jiao Tong University School of Medicine, Shanghai, 201999, China.</w:t>
      </w:r>
    </w:p>
    <w:p w14:paraId="74B1C27A" w14:textId="77777777" w:rsidR="002F0958" w:rsidRDefault="002F0958" w:rsidP="002F0958"/>
    <w:p w14:paraId="627EB376" w14:textId="77777777" w:rsidR="002F0958" w:rsidRDefault="002F0958" w:rsidP="002F0958">
      <w:pPr>
        <w:autoSpaceDE w:val="0"/>
        <w:autoSpaceDN w:val="0"/>
        <w:adjustRightInd w:val="0"/>
        <w:jc w:val="left"/>
        <w:rPr>
          <w:rFonts w:eastAsiaTheme="minorEastAsia"/>
          <w:kern w:val="0"/>
          <w:sz w:val="22"/>
          <w:szCs w:val="22"/>
        </w:rPr>
      </w:pPr>
      <w:r w:rsidRPr="000F2312">
        <w:rPr>
          <w:rFonts w:eastAsiaTheme="minorEastAsia"/>
          <w:kern w:val="0"/>
          <w:sz w:val="22"/>
          <w:szCs w:val="22"/>
        </w:rPr>
        <w:t>* Corresponding authors</w:t>
      </w:r>
    </w:p>
    <w:p w14:paraId="31B79A7F" w14:textId="77777777" w:rsidR="002F0958" w:rsidRPr="000F2312" w:rsidRDefault="002F0958" w:rsidP="002F0958">
      <w:pPr>
        <w:autoSpaceDE w:val="0"/>
        <w:autoSpaceDN w:val="0"/>
        <w:adjustRightInd w:val="0"/>
        <w:jc w:val="left"/>
        <w:rPr>
          <w:rFonts w:eastAsiaTheme="minorEastAsia"/>
          <w:kern w:val="0"/>
          <w:sz w:val="22"/>
          <w:szCs w:val="22"/>
        </w:rPr>
      </w:pPr>
      <w:r w:rsidRPr="003D30FE">
        <w:t>Xin Gu</w:t>
      </w:r>
      <w:r>
        <w:rPr>
          <w:rFonts w:eastAsiaTheme="minorEastAsia"/>
          <w:kern w:val="0"/>
          <w:sz w:val="22"/>
          <w:szCs w:val="22"/>
        </w:rPr>
        <w:t>,</w:t>
      </w:r>
      <w:r w:rsidRPr="000F2312">
        <w:rPr>
          <w:rFonts w:eastAsiaTheme="minorEastAsia"/>
          <w:kern w:val="0"/>
          <w:sz w:val="22"/>
          <w:szCs w:val="22"/>
        </w:rPr>
        <w:t xml:space="preserve"> PhD, </w:t>
      </w:r>
      <w:bookmarkStart w:id="1" w:name="_Hlk46498884"/>
      <w:r w:rsidRPr="00054A4F">
        <w:rPr>
          <w:rFonts w:eastAsiaTheme="minorEastAsia"/>
          <w:kern w:val="0"/>
          <w:sz w:val="22"/>
          <w:szCs w:val="22"/>
        </w:rPr>
        <w:t>Department of Urology, Shanghai Ninth People’s Hospital, Shanghai Jiao Tong University School of Medicine, 201999, China</w:t>
      </w:r>
      <w:bookmarkEnd w:id="1"/>
    </w:p>
    <w:p w14:paraId="6BAED1CD" w14:textId="77777777" w:rsidR="002F0958" w:rsidRPr="000F2312" w:rsidRDefault="002F0958" w:rsidP="002F0958">
      <w:pPr>
        <w:autoSpaceDE w:val="0"/>
        <w:autoSpaceDN w:val="0"/>
        <w:adjustRightInd w:val="0"/>
        <w:jc w:val="left"/>
        <w:rPr>
          <w:rFonts w:eastAsiaTheme="minorEastAsia"/>
          <w:kern w:val="0"/>
          <w:sz w:val="22"/>
          <w:szCs w:val="22"/>
        </w:rPr>
      </w:pPr>
      <w:r w:rsidRPr="000F2312">
        <w:rPr>
          <w:rFonts w:eastAsiaTheme="minorEastAsia"/>
          <w:kern w:val="0"/>
          <w:sz w:val="22"/>
          <w:szCs w:val="22"/>
        </w:rPr>
        <w:t xml:space="preserve">E-mail addresses: </w:t>
      </w:r>
      <w:r w:rsidRPr="00054A4F">
        <w:rPr>
          <w:rFonts w:eastAsiaTheme="minorEastAsia"/>
          <w:kern w:val="0"/>
          <w:sz w:val="22"/>
          <w:szCs w:val="22"/>
        </w:rPr>
        <w:t>guxin111@163.com</w:t>
      </w:r>
    </w:p>
    <w:p w14:paraId="2CB3933E" w14:textId="77777777" w:rsidR="002F0958" w:rsidRDefault="002F0958" w:rsidP="002F0958">
      <w:pPr>
        <w:autoSpaceDE w:val="0"/>
        <w:autoSpaceDN w:val="0"/>
        <w:adjustRightInd w:val="0"/>
        <w:jc w:val="left"/>
        <w:rPr>
          <w:rFonts w:eastAsiaTheme="minorEastAsia"/>
          <w:kern w:val="0"/>
          <w:sz w:val="22"/>
          <w:szCs w:val="22"/>
        </w:rPr>
      </w:pPr>
    </w:p>
    <w:p w14:paraId="00248F6A" w14:textId="77777777" w:rsidR="002F0958" w:rsidRPr="000F2312" w:rsidRDefault="002F0958" w:rsidP="002F0958">
      <w:pPr>
        <w:autoSpaceDE w:val="0"/>
        <w:autoSpaceDN w:val="0"/>
        <w:adjustRightInd w:val="0"/>
        <w:jc w:val="left"/>
        <w:rPr>
          <w:rFonts w:eastAsiaTheme="minorEastAsia"/>
          <w:kern w:val="0"/>
          <w:sz w:val="22"/>
          <w:szCs w:val="22"/>
        </w:rPr>
      </w:pPr>
      <w:r w:rsidRPr="00471FB3">
        <w:rPr>
          <w:rFonts w:eastAsiaTheme="minorEastAsia"/>
          <w:kern w:val="0"/>
          <w:sz w:val="22"/>
          <w:szCs w:val="22"/>
        </w:rPr>
        <w:t>Bin Xu</w:t>
      </w:r>
      <w:r>
        <w:rPr>
          <w:rFonts w:eastAsiaTheme="minorEastAsia"/>
          <w:kern w:val="0"/>
          <w:sz w:val="22"/>
          <w:szCs w:val="22"/>
        </w:rPr>
        <w:t>,</w:t>
      </w:r>
      <w:r w:rsidRPr="000F2312">
        <w:rPr>
          <w:rFonts w:eastAsiaTheme="minorEastAsia"/>
          <w:kern w:val="0"/>
          <w:sz w:val="22"/>
          <w:szCs w:val="22"/>
        </w:rPr>
        <w:t xml:space="preserve"> PhD, </w:t>
      </w:r>
      <w:r w:rsidRPr="00471FB3">
        <w:rPr>
          <w:rFonts w:eastAsiaTheme="minorEastAsia"/>
          <w:kern w:val="0"/>
          <w:sz w:val="22"/>
          <w:szCs w:val="22"/>
        </w:rPr>
        <w:t>Department of Urology, Shanghai Ninth People’s Hospital, Shanghai Jiao Tong University School of Medicine, 201999, China</w:t>
      </w:r>
    </w:p>
    <w:p w14:paraId="159E797A" w14:textId="77777777" w:rsidR="002F0958" w:rsidRPr="000F2312" w:rsidRDefault="002F0958" w:rsidP="002F0958">
      <w:pPr>
        <w:autoSpaceDE w:val="0"/>
        <w:autoSpaceDN w:val="0"/>
        <w:adjustRightInd w:val="0"/>
        <w:jc w:val="left"/>
        <w:rPr>
          <w:rFonts w:eastAsiaTheme="minorEastAsia"/>
          <w:kern w:val="0"/>
          <w:sz w:val="22"/>
          <w:szCs w:val="22"/>
        </w:rPr>
      </w:pPr>
      <w:r w:rsidRPr="000F2312">
        <w:rPr>
          <w:rFonts w:eastAsiaTheme="minorEastAsia"/>
          <w:kern w:val="0"/>
          <w:sz w:val="22"/>
          <w:szCs w:val="22"/>
        </w:rPr>
        <w:t xml:space="preserve">E-mail addresses: </w:t>
      </w:r>
      <w:r w:rsidRPr="00472FB2">
        <w:rPr>
          <w:rFonts w:eastAsiaTheme="minorEastAsia"/>
          <w:kern w:val="0"/>
          <w:sz w:val="22"/>
          <w:szCs w:val="22"/>
        </w:rPr>
        <w:t>chxb2004@126.com</w:t>
      </w:r>
    </w:p>
    <w:p w14:paraId="7BA6F7FD" w14:textId="77777777" w:rsidR="002F0958" w:rsidRPr="00F43053" w:rsidRDefault="002F0958" w:rsidP="002F0958">
      <w:pPr>
        <w:autoSpaceDE w:val="0"/>
        <w:autoSpaceDN w:val="0"/>
        <w:adjustRightInd w:val="0"/>
        <w:jc w:val="left"/>
        <w:rPr>
          <w:rFonts w:eastAsiaTheme="minorEastAsia"/>
          <w:kern w:val="0"/>
          <w:sz w:val="22"/>
          <w:szCs w:val="22"/>
        </w:rPr>
      </w:pPr>
    </w:p>
    <w:p w14:paraId="4F8495BC" w14:textId="77777777" w:rsidR="002F0958" w:rsidRPr="00423D80" w:rsidRDefault="002F0958" w:rsidP="002F0958">
      <w:pPr>
        <w:rPr>
          <w:bCs/>
          <w:lang w:val="en-GB"/>
        </w:rPr>
      </w:pPr>
      <w:r w:rsidRPr="00423D80">
        <w:rPr>
          <w:bCs/>
          <w:vertAlign w:val="superscript"/>
          <w:lang w:val="en-GB"/>
        </w:rPr>
        <w:t>1</w:t>
      </w:r>
      <w:r w:rsidRPr="00423D80">
        <w:rPr>
          <w:bCs/>
          <w:lang w:val="en-GB"/>
        </w:rPr>
        <w:t xml:space="preserve"> These authors contributed equally to this work.</w:t>
      </w:r>
    </w:p>
    <w:p w14:paraId="2C711DD9" w14:textId="77777777" w:rsidR="002F0958" w:rsidRPr="00054A4F" w:rsidRDefault="002F0958" w:rsidP="002F0958">
      <w:pPr>
        <w:rPr>
          <w:lang w:val="en-GB"/>
        </w:rPr>
      </w:pPr>
    </w:p>
    <w:p w14:paraId="3C92D3EA" w14:textId="77777777" w:rsidR="002F0958" w:rsidRPr="00EC4082" w:rsidRDefault="002F0958" w:rsidP="002F0958">
      <w:pPr>
        <w:rPr>
          <w:b/>
          <w:bCs/>
        </w:rPr>
      </w:pPr>
      <w:r w:rsidRPr="00EC4082">
        <w:rPr>
          <w:b/>
          <w:bCs/>
        </w:rPr>
        <w:t>Materials and methods</w:t>
      </w:r>
    </w:p>
    <w:p w14:paraId="1FF3C140" w14:textId="776C0583" w:rsidR="005570AB" w:rsidRPr="00B016D2" w:rsidRDefault="005570AB" w:rsidP="005570AB">
      <w:r w:rsidRPr="00B016D2">
        <w:t>Total RNA isolation and quantitative reverse transcription-polymerase chain reaction (RT-qPCR)</w:t>
      </w:r>
    </w:p>
    <w:p w14:paraId="654969F9" w14:textId="77777777" w:rsidR="005570AB" w:rsidRDefault="005570AB" w:rsidP="005570AB">
      <w:r w:rsidRPr="00A43391">
        <w:t xml:space="preserve">RNA was isolated using </w:t>
      </w:r>
      <w:proofErr w:type="spellStart"/>
      <w:r w:rsidRPr="00A43391">
        <w:t>TRIzol</w:t>
      </w:r>
      <w:proofErr w:type="spellEnd"/>
      <w:r w:rsidRPr="00A43391">
        <w:t xml:space="preserve"> reagent (Invitrogen) </w:t>
      </w:r>
      <w:r>
        <w:t>according to the protocol provided by the manufacturer</w:t>
      </w:r>
      <w:r w:rsidRPr="00A43391">
        <w:t xml:space="preserve"> </w:t>
      </w:r>
      <w:r>
        <w:t>followed by</w:t>
      </w:r>
      <w:r w:rsidRPr="00A43391">
        <w:t xml:space="preserve"> reverse-transcri</w:t>
      </w:r>
      <w:r>
        <w:t>ption</w:t>
      </w:r>
      <w:r w:rsidRPr="00A43391">
        <w:t xml:space="preserve"> </w:t>
      </w:r>
      <w:r>
        <w:t xml:space="preserve">to cDNA </w:t>
      </w:r>
      <w:r w:rsidRPr="00A43391">
        <w:t xml:space="preserve">using a </w:t>
      </w:r>
      <w:proofErr w:type="spellStart"/>
      <w:r w:rsidRPr="00A43391">
        <w:t>miScript</w:t>
      </w:r>
      <w:proofErr w:type="spellEnd"/>
      <w:r w:rsidRPr="00A43391">
        <w:t xml:space="preserve"> Reverse Transcription Kit.</w:t>
      </w:r>
      <w:r>
        <w:t xml:space="preserve"> </w:t>
      </w:r>
      <w:r w:rsidRPr="00A43391">
        <w:t>qRT-PCR was performed using a SYBR Premium Ex Taq II kit</w:t>
      </w:r>
      <w:r>
        <w:t xml:space="preserve"> </w:t>
      </w:r>
      <w:r w:rsidRPr="00A43391">
        <w:t>(</w:t>
      </w:r>
      <w:proofErr w:type="spellStart"/>
      <w:r w:rsidRPr="00A43391">
        <w:t>TaKaRa</w:t>
      </w:r>
      <w:proofErr w:type="spellEnd"/>
      <w:r w:rsidRPr="00A43391">
        <w:t>)</w:t>
      </w:r>
      <w:r>
        <w:t xml:space="preserve"> </w:t>
      </w:r>
      <w:r w:rsidRPr="00A43391">
        <w:t xml:space="preserve">on an ABI PRISM 7500 Sequence Detection System (Applied Biosystems). All reactions were performed in triplicate </w:t>
      </w:r>
      <w:r>
        <w:t>with</w:t>
      </w:r>
      <w:r w:rsidRPr="00A43391">
        <w:t xml:space="preserve"> the mean value </w:t>
      </w:r>
      <w:r>
        <w:t>being</w:t>
      </w:r>
      <w:r w:rsidRPr="00A43391">
        <w:t xml:space="preserve"> used to calculate expression levels after normali</w:t>
      </w:r>
      <w:r>
        <w:t>z</w:t>
      </w:r>
      <w:r w:rsidRPr="00A43391">
        <w:t>ation against β-actin</w:t>
      </w:r>
      <w:r>
        <w:t xml:space="preserve"> for mRNA and U6 for miRNA.</w:t>
      </w:r>
    </w:p>
    <w:p w14:paraId="4C73585D" w14:textId="77777777" w:rsidR="005570AB" w:rsidRDefault="005570AB" w:rsidP="005570AB"/>
    <w:p w14:paraId="0011B8A3" w14:textId="7D1B06E1" w:rsidR="005570AB" w:rsidRPr="00B016D2" w:rsidRDefault="005570AB" w:rsidP="005570AB">
      <w:r w:rsidRPr="00B016D2">
        <w:t xml:space="preserve">Protein extraction and </w:t>
      </w:r>
      <w:r>
        <w:t>W</w:t>
      </w:r>
      <w:r w:rsidRPr="00B016D2">
        <w:t>estern blot analysis</w:t>
      </w:r>
    </w:p>
    <w:p w14:paraId="42E4F851" w14:textId="0DD72E26" w:rsidR="005570AB" w:rsidRDefault="005570AB" w:rsidP="005570AB">
      <w:r>
        <w:t>The</w:t>
      </w:r>
      <w:r w:rsidR="004857E9" w:rsidRPr="004857E9">
        <w:t xml:space="preserve"> </w:t>
      </w:r>
      <w:r w:rsidR="004857E9" w:rsidRPr="004857E9">
        <w:rPr>
          <w:highlight w:val="yellow"/>
        </w:rPr>
        <w:t>DNP</w:t>
      </w:r>
      <w:r>
        <w:t xml:space="preserve"> tissue and </w:t>
      </w:r>
      <w:r w:rsidRPr="00DE0F5E">
        <w:t>CCSMC</w:t>
      </w:r>
      <w:r>
        <w:t>s</w:t>
      </w:r>
      <w:r>
        <w:rPr>
          <w:rFonts w:hint="eastAsia"/>
        </w:rPr>
        <w:t xml:space="preserve"> </w:t>
      </w:r>
      <w:r>
        <w:t xml:space="preserve">were lysed using RIPA buffer and the protein concentration determined using a BCA protein assay kit (Thermo Fisher). Approximately 30μg of protein from each sample was separated using 10% sodium dodecyl sulphate-polyacrylamide gel electrophoresis (SDS-PAGE) and transferred to a polyvinylidene fluoride (PVDF) membrane. Membranes were then blocked using 5% skim milk in TBST followed by incubation at 4°C overnight with one of the following primary antibodies: </w:t>
      </w:r>
      <w:r w:rsidRPr="008A3B45">
        <w:t>α</w:t>
      </w:r>
      <w:r w:rsidRPr="0036561C">
        <w:rPr>
          <w:rFonts w:hint="eastAsia"/>
        </w:rPr>
        <w:t>-</w:t>
      </w:r>
      <w:r>
        <w:t>SMA (</w:t>
      </w:r>
      <w:r w:rsidRPr="00B016D2">
        <w:t>ab32575</w:t>
      </w:r>
      <w:r>
        <w:t xml:space="preserve">, 1:1,000), </w:t>
      </w:r>
      <w:r w:rsidRPr="0036561C">
        <w:rPr>
          <w:rFonts w:hint="eastAsia"/>
        </w:rPr>
        <w:t>eNOS</w:t>
      </w:r>
      <w:r>
        <w:t xml:space="preserve"> (</w:t>
      </w:r>
      <w:r w:rsidRPr="00B016D2">
        <w:t>ab76198</w:t>
      </w:r>
      <w:r>
        <w:t xml:space="preserve">, 1:1,000), </w:t>
      </w:r>
      <w:proofErr w:type="spellStart"/>
      <w:r w:rsidRPr="0036561C">
        <w:rPr>
          <w:rFonts w:hint="eastAsia"/>
        </w:rPr>
        <w:t>n</w:t>
      </w:r>
      <w:r>
        <w:t>NOS</w:t>
      </w:r>
      <w:proofErr w:type="spellEnd"/>
      <w:r>
        <w:t xml:space="preserve"> (</w:t>
      </w:r>
      <w:r w:rsidRPr="00B016D2">
        <w:t>ab76067</w:t>
      </w:r>
      <w:r>
        <w:t>, 1:1,000)</w:t>
      </w:r>
      <w:r w:rsidRPr="002272CE">
        <w:t xml:space="preserve"> </w:t>
      </w:r>
      <w:r>
        <w:t xml:space="preserve">, </w:t>
      </w:r>
      <w:proofErr w:type="spellStart"/>
      <w:r>
        <w:rPr>
          <w:rFonts w:hint="eastAsia"/>
        </w:rPr>
        <w:t>i</w:t>
      </w:r>
      <w:r>
        <w:t>NOS</w:t>
      </w:r>
      <w:proofErr w:type="spellEnd"/>
      <w:r>
        <w:t xml:space="preserve"> (</w:t>
      </w:r>
      <w:r w:rsidRPr="002272CE">
        <w:t>ab178945</w:t>
      </w:r>
      <w:r>
        <w:t>, 1:1,000), PTEN (</w:t>
      </w:r>
      <w:r w:rsidRPr="00B016D2">
        <w:t>ab32199</w:t>
      </w:r>
      <w:r>
        <w:t xml:space="preserve">, 1:1,000), </w:t>
      </w:r>
      <w:r w:rsidRPr="004E2644">
        <w:t>HIF-1α</w:t>
      </w:r>
      <w:r>
        <w:t xml:space="preserve"> </w:t>
      </w:r>
      <w:r>
        <w:lastRenderedPageBreak/>
        <w:t>(</w:t>
      </w:r>
      <w:r w:rsidRPr="004E2644">
        <w:t>ab51608</w:t>
      </w:r>
      <w:r>
        <w:t>, 1:1,000), LC3B</w:t>
      </w:r>
      <w:r w:rsidRPr="004E2644">
        <w:t xml:space="preserve"> </w:t>
      </w:r>
      <w:r>
        <w:t>(</w:t>
      </w:r>
      <w:r w:rsidRPr="00A81CCF">
        <w:t>ab48394</w:t>
      </w:r>
      <w:r>
        <w:t>, 1:1,000), p62</w:t>
      </w:r>
      <w:r w:rsidRPr="004E2644">
        <w:t xml:space="preserve"> </w:t>
      </w:r>
      <w:r>
        <w:t>(</w:t>
      </w:r>
      <w:r w:rsidRPr="00A81CCF">
        <w:t>ab109012</w:t>
      </w:r>
      <w:r>
        <w:t>, 1:1,000), TLR4</w:t>
      </w:r>
      <w:r w:rsidRPr="004E2644">
        <w:t xml:space="preserve"> </w:t>
      </w:r>
      <w:r>
        <w:t>(</w:t>
      </w:r>
      <w:r w:rsidRPr="00A81CCF">
        <w:t>ab22048</w:t>
      </w:r>
      <w:r>
        <w:t>, 1:1,000), p65 (</w:t>
      </w:r>
      <w:r w:rsidRPr="00A81CCF">
        <w:t>ab16502</w:t>
      </w:r>
      <w:r>
        <w:t>, 1:1,000), LaminB (</w:t>
      </w:r>
      <w:r w:rsidRPr="00A81CCF">
        <w:t>ab16048</w:t>
      </w:r>
      <w:r>
        <w:t>, 1:1,000), and β-actin (</w:t>
      </w:r>
      <w:r w:rsidRPr="00F53AE7">
        <w:t>ab8226</w:t>
      </w:r>
      <w:r>
        <w:t>, 1:1,500) all from Abcam. Membranes were then incubated with the corresponding secondary antibody for 1 hour at room temperature and washed in TBST. Protein signals were detected using Super ECL Plus Detection Reagent (Merk).</w:t>
      </w:r>
    </w:p>
    <w:p w14:paraId="56CFA234" w14:textId="77777777" w:rsidR="002F0958" w:rsidRDefault="002F0958" w:rsidP="002F0958"/>
    <w:p w14:paraId="744C54CC" w14:textId="4499AEB1" w:rsidR="002F0958" w:rsidRDefault="002F0958" w:rsidP="002F0958">
      <w:r>
        <w:t>Cell transfection</w:t>
      </w:r>
    </w:p>
    <w:p w14:paraId="6517109E" w14:textId="067E59F0" w:rsidR="005570AB" w:rsidRDefault="002F0958" w:rsidP="005570AB">
      <w:pPr>
        <w:rPr>
          <w:rFonts w:eastAsiaTheme="minorEastAsia"/>
        </w:rPr>
      </w:pPr>
      <w:r w:rsidRPr="009E4731">
        <w:rPr>
          <w:rFonts w:hint="eastAsia"/>
          <w:highlight w:val="yellow"/>
        </w:rPr>
        <w:t>For miR-</w:t>
      </w:r>
      <w:r w:rsidRPr="009E4731">
        <w:rPr>
          <w:highlight w:val="yellow"/>
        </w:rPr>
        <w:t>301a-</w:t>
      </w:r>
      <w:r w:rsidRPr="009E4731">
        <w:rPr>
          <w:rFonts w:hint="eastAsia"/>
          <w:highlight w:val="yellow"/>
        </w:rPr>
        <w:t>3p overexpress</w:t>
      </w:r>
      <w:r w:rsidRPr="00C2522B">
        <w:rPr>
          <w:rFonts w:hint="eastAsia"/>
          <w:highlight w:val="yellow"/>
        </w:rPr>
        <w:t xml:space="preserve">ion, </w:t>
      </w:r>
      <w:r w:rsidR="00C2522B" w:rsidRPr="00C2522B">
        <w:rPr>
          <w:highlight w:val="yellow"/>
        </w:rPr>
        <w:t xml:space="preserve">chemically synthesized </w:t>
      </w:r>
      <w:bookmarkStart w:id="2" w:name="_Hlk56115779"/>
      <w:r w:rsidRPr="00C2522B">
        <w:rPr>
          <w:rFonts w:hint="eastAsia"/>
          <w:highlight w:val="yellow"/>
        </w:rPr>
        <w:t>miR-</w:t>
      </w:r>
      <w:r w:rsidRPr="00C2522B">
        <w:rPr>
          <w:highlight w:val="yellow"/>
        </w:rPr>
        <w:t>301a-</w:t>
      </w:r>
      <w:r w:rsidRPr="00C2522B">
        <w:rPr>
          <w:rFonts w:hint="eastAsia"/>
          <w:highlight w:val="yellow"/>
        </w:rPr>
        <w:t xml:space="preserve">3p </w:t>
      </w:r>
      <w:r w:rsidRPr="00C2522B">
        <w:rPr>
          <w:highlight w:val="yellow"/>
        </w:rPr>
        <w:t xml:space="preserve">mimic </w:t>
      </w:r>
      <w:bookmarkEnd w:id="2"/>
      <w:r w:rsidR="009E4731" w:rsidRPr="00C2522B">
        <w:rPr>
          <w:rFonts w:hint="eastAsia"/>
          <w:highlight w:val="yellow"/>
        </w:rPr>
        <w:t>(5</w:t>
      </w:r>
      <w:r w:rsidR="009E4731" w:rsidRPr="00C2522B">
        <w:rPr>
          <w:highlight w:val="yellow"/>
        </w:rPr>
        <w:t>’</w:t>
      </w:r>
      <w:r w:rsidR="009E4731" w:rsidRPr="00C2522B">
        <w:rPr>
          <w:rFonts w:hint="eastAsia"/>
          <w:highlight w:val="yellow"/>
        </w:rPr>
        <w:t>-</w:t>
      </w:r>
      <w:r w:rsidR="009E4731" w:rsidRPr="00C2522B">
        <w:rPr>
          <w:highlight w:val="yellow"/>
        </w:rPr>
        <w:t xml:space="preserve"> </w:t>
      </w:r>
      <w:r w:rsidR="009E4731" w:rsidRPr="00C2522B">
        <w:rPr>
          <w:highlight w:val="yellow"/>
        </w:rPr>
        <w:t>CAGUGCAAUAGUAUUGUCAAAGC</w:t>
      </w:r>
      <w:r w:rsidR="009E4731" w:rsidRPr="00C2522B">
        <w:rPr>
          <w:rFonts w:hint="eastAsia"/>
          <w:highlight w:val="yellow"/>
        </w:rPr>
        <w:t>-3</w:t>
      </w:r>
      <w:r w:rsidR="009E4731" w:rsidRPr="00C2522B">
        <w:rPr>
          <w:highlight w:val="yellow"/>
        </w:rPr>
        <w:t>’</w:t>
      </w:r>
      <w:r w:rsidR="009E4731" w:rsidRPr="00C2522B">
        <w:rPr>
          <w:rFonts w:hint="eastAsia"/>
          <w:highlight w:val="yellow"/>
        </w:rPr>
        <w:t>)</w:t>
      </w:r>
      <w:r w:rsidR="009E4731" w:rsidRPr="00C2522B">
        <w:rPr>
          <w:highlight w:val="yellow"/>
        </w:rPr>
        <w:t xml:space="preserve"> and negative </w:t>
      </w:r>
      <w:r w:rsidR="009E4731">
        <w:rPr>
          <w:highlight w:val="yellow"/>
        </w:rPr>
        <w:t xml:space="preserve">control, miR-NC </w:t>
      </w:r>
      <w:r w:rsidR="009E4731" w:rsidRPr="009E4731">
        <w:rPr>
          <w:highlight w:val="yellow"/>
        </w:rPr>
        <w:t xml:space="preserve"> </w:t>
      </w:r>
      <w:r w:rsidR="009E4731" w:rsidRPr="009E4731">
        <w:rPr>
          <w:rFonts w:hint="eastAsia"/>
          <w:highlight w:val="yellow"/>
        </w:rPr>
        <w:t>(5</w:t>
      </w:r>
      <w:r w:rsidR="009E4731" w:rsidRPr="009E4731">
        <w:rPr>
          <w:highlight w:val="yellow"/>
        </w:rPr>
        <w:t>’</w:t>
      </w:r>
      <w:r w:rsidR="009E4731" w:rsidRPr="009E4731">
        <w:rPr>
          <w:rFonts w:hint="eastAsia"/>
          <w:highlight w:val="yellow"/>
        </w:rPr>
        <w:t>-</w:t>
      </w:r>
      <w:r w:rsidR="009E4731" w:rsidRPr="009E4731">
        <w:rPr>
          <w:highlight w:val="yellow"/>
        </w:rPr>
        <w:t xml:space="preserve"> </w:t>
      </w:r>
      <w:r w:rsidR="00D96C2A" w:rsidRPr="00D96C2A">
        <w:rPr>
          <w:highlight w:val="yellow"/>
        </w:rPr>
        <w:t>CAGUACUUUUGUGUAGUACAA</w:t>
      </w:r>
      <w:r w:rsidR="009E4731" w:rsidRPr="009E4731">
        <w:rPr>
          <w:rFonts w:hint="eastAsia"/>
          <w:highlight w:val="yellow"/>
        </w:rPr>
        <w:t>-3</w:t>
      </w:r>
      <w:r w:rsidR="009E4731" w:rsidRPr="009E4731">
        <w:rPr>
          <w:highlight w:val="yellow"/>
        </w:rPr>
        <w:t>’</w:t>
      </w:r>
      <w:r w:rsidR="009E4731" w:rsidRPr="009E4731">
        <w:rPr>
          <w:rFonts w:hint="eastAsia"/>
          <w:highlight w:val="yellow"/>
        </w:rPr>
        <w:t>)</w:t>
      </w:r>
      <w:r w:rsidR="009E4731">
        <w:rPr>
          <w:highlight w:val="yellow"/>
        </w:rPr>
        <w:t xml:space="preserve"> </w:t>
      </w:r>
      <w:r w:rsidRPr="009E4731">
        <w:rPr>
          <w:rFonts w:hint="eastAsia"/>
          <w:highlight w:val="yellow"/>
        </w:rPr>
        <w:t xml:space="preserve">was purchased from </w:t>
      </w:r>
      <w:proofErr w:type="spellStart"/>
      <w:r w:rsidRPr="009E4731">
        <w:rPr>
          <w:highlight w:val="yellow"/>
        </w:rPr>
        <w:t>Hanbio</w:t>
      </w:r>
      <w:proofErr w:type="spellEnd"/>
      <w:r w:rsidRPr="009E4731">
        <w:rPr>
          <w:highlight w:val="yellow"/>
        </w:rPr>
        <w:t xml:space="preserve"> Biotechnology Co., Ltd.</w:t>
      </w:r>
      <w:r>
        <w:rPr>
          <w:rFonts w:hint="eastAsia"/>
        </w:rPr>
        <w:t xml:space="preserve"> ADSC</w:t>
      </w:r>
      <w:r>
        <w:t>s</w:t>
      </w:r>
      <w:r>
        <w:rPr>
          <w:rFonts w:hint="eastAsia"/>
        </w:rPr>
        <w:t xml:space="preserve"> w</w:t>
      </w:r>
      <w:r>
        <w:t>ere</w:t>
      </w:r>
      <w:r>
        <w:rPr>
          <w:rFonts w:hint="eastAsia"/>
        </w:rPr>
        <w:t xml:space="preserve"> transfected with either the miR-</w:t>
      </w:r>
      <w:r>
        <w:t>301a-</w:t>
      </w:r>
      <w:r>
        <w:rPr>
          <w:rFonts w:hint="eastAsia"/>
        </w:rPr>
        <w:t xml:space="preserve">3p mimic or </w:t>
      </w:r>
      <w:proofErr w:type="spellStart"/>
      <w:r>
        <w:t>mR</w:t>
      </w:r>
      <w:proofErr w:type="spellEnd"/>
      <w:r>
        <w:t>-</w:t>
      </w:r>
      <w:r>
        <w:rPr>
          <w:rFonts w:hint="eastAsia"/>
        </w:rPr>
        <w:t xml:space="preserve">NC at a final concentration of 50 nmol/L using Lipofectamine 2000 (Invitrogen) </w:t>
      </w:r>
      <w:r>
        <w:t>following the protocol described by the manufacturer</w:t>
      </w:r>
      <w:r>
        <w:rPr>
          <w:rFonts w:hint="eastAsia"/>
        </w:rPr>
        <w:t>. After 48 hours of transfection</w:t>
      </w:r>
      <w:r>
        <w:t>,</w:t>
      </w:r>
      <w:r>
        <w:rPr>
          <w:rFonts w:hint="eastAsia"/>
        </w:rPr>
        <w:t xml:space="preserve"> cells were used for </w:t>
      </w:r>
      <w:r>
        <w:t xml:space="preserve">the analysis of </w:t>
      </w:r>
      <w:r>
        <w:rPr>
          <w:rFonts w:hint="eastAsia"/>
        </w:rPr>
        <w:t>miR-</w:t>
      </w:r>
      <w:r>
        <w:t>301a-</w:t>
      </w:r>
      <w:r>
        <w:rPr>
          <w:rFonts w:hint="eastAsia"/>
        </w:rPr>
        <w:t xml:space="preserve">3p expression </w:t>
      </w:r>
      <w:r>
        <w:t>and</w:t>
      </w:r>
      <w:r>
        <w:rPr>
          <w:rFonts w:hint="eastAsia"/>
        </w:rPr>
        <w:t xml:space="preserve"> other experiments</w:t>
      </w:r>
      <w:r>
        <w:t>.</w:t>
      </w:r>
      <w:r>
        <w:rPr>
          <w:rFonts w:hint="eastAsia"/>
        </w:rPr>
        <w:t xml:space="preserve"> </w:t>
      </w:r>
    </w:p>
    <w:p w14:paraId="21160361" w14:textId="410D6597" w:rsidR="007E6DC3" w:rsidRPr="002C6D40" w:rsidRDefault="00676FDF" w:rsidP="005570AB">
      <w:pPr>
        <w:rPr>
          <w:rFonts w:eastAsiaTheme="minorEastAsia"/>
          <w:highlight w:val="yellow"/>
        </w:rPr>
      </w:pPr>
      <w:r w:rsidRPr="002C6D40">
        <w:rPr>
          <w:rFonts w:eastAsiaTheme="minorEastAsia"/>
          <w:highlight w:val="yellow"/>
        </w:rPr>
        <w:t xml:space="preserve">For the overexpression of </w:t>
      </w:r>
      <w:bookmarkStart w:id="3" w:name="_Hlk56115099"/>
      <w:r w:rsidRPr="002C6D40">
        <w:rPr>
          <w:rFonts w:eastAsiaTheme="minorEastAsia"/>
          <w:highlight w:val="yellow"/>
        </w:rPr>
        <w:t xml:space="preserve">TLR4 and </w:t>
      </w:r>
      <w:r w:rsidR="007E5013" w:rsidRPr="002C6D40">
        <w:rPr>
          <w:rFonts w:eastAsiaTheme="minorEastAsia"/>
          <w:highlight w:val="yellow"/>
        </w:rPr>
        <w:t>PTEN</w:t>
      </w:r>
      <w:bookmarkEnd w:id="3"/>
      <w:r w:rsidRPr="002C6D40">
        <w:rPr>
          <w:rFonts w:eastAsiaTheme="minorEastAsia"/>
          <w:highlight w:val="yellow"/>
        </w:rPr>
        <w:t>,</w:t>
      </w:r>
      <w:r w:rsidR="002C6D40" w:rsidRPr="002C6D40">
        <w:rPr>
          <w:rFonts w:eastAsiaTheme="minorEastAsia"/>
          <w:highlight w:val="yellow"/>
        </w:rPr>
        <w:t xml:space="preserve"> t</w:t>
      </w:r>
      <w:r w:rsidR="007E6DC3" w:rsidRPr="002C6D40">
        <w:rPr>
          <w:rFonts w:eastAsiaTheme="minorEastAsia"/>
          <w:highlight w:val="yellow"/>
        </w:rPr>
        <w:t xml:space="preserve">he </w:t>
      </w:r>
      <w:bookmarkStart w:id="4" w:name="_Hlk56115150"/>
      <w:r w:rsidR="007E6DC3" w:rsidRPr="002C6D40">
        <w:rPr>
          <w:rFonts w:eastAsiaTheme="minorEastAsia"/>
          <w:highlight w:val="yellow"/>
        </w:rPr>
        <w:t>TLR4 and PTEN</w:t>
      </w:r>
      <w:bookmarkEnd w:id="4"/>
      <w:r w:rsidR="007E6DC3" w:rsidRPr="002C6D40">
        <w:rPr>
          <w:rFonts w:eastAsiaTheme="minorEastAsia"/>
          <w:highlight w:val="yellow"/>
        </w:rPr>
        <w:t xml:space="preserve"> </w:t>
      </w:r>
      <w:r w:rsidR="007E6DC3" w:rsidRPr="002C6D40">
        <w:rPr>
          <w:rFonts w:eastAsiaTheme="minorEastAsia"/>
          <w:highlight w:val="yellow"/>
        </w:rPr>
        <w:t xml:space="preserve">plasmid was constructed by subcloning the full-length complementary DNAs (cDNAs) of </w:t>
      </w:r>
      <w:r w:rsidR="007E6DC3" w:rsidRPr="002C6D40">
        <w:rPr>
          <w:rFonts w:eastAsiaTheme="minorEastAsia"/>
          <w:highlight w:val="yellow"/>
        </w:rPr>
        <w:t xml:space="preserve">rat </w:t>
      </w:r>
      <w:r w:rsidR="007E6DC3" w:rsidRPr="002C6D40">
        <w:rPr>
          <w:rFonts w:eastAsiaTheme="minorEastAsia"/>
          <w:highlight w:val="yellow"/>
        </w:rPr>
        <w:t>TLR4 and PTEN into the pcDNA3.1 vector.</w:t>
      </w:r>
      <w:r w:rsidR="007E6DC3" w:rsidRPr="002C6D40">
        <w:rPr>
          <w:rFonts w:eastAsiaTheme="minorEastAsia"/>
          <w:highlight w:val="yellow"/>
        </w:rPr>
        <w:t xml:space="preserve"> </w:t>
      </w:r>
      <w:r w:rsidR="002C6D40" w:rsidRPr="002C6D40">
        <w:rPr>
          <w:highlight w:val="yellow"/>
        </w:rPr>
        <w:t>CCSMCs</w:t>
      </w:r>
      <w:r w:rsidR="002C6D40" w:rsidRPr="002C6D40">
        <w:rPr>
          <w:rFonts w:hint="eastAsia"/>
          <w:highlight w:val="yellow"/>
        </w:rPr>
        <w:t xml:space="preserve"> </w:t>
      </w:r>
      <w:r w:rsidR="002C6D40" w:rsidRPr="002C6D40">
        <w:rPr>
          <w:rFonts w:eastAsiaTheme="minorEastAsia"/>
          <w:highlight w:val="yellow"/>
        </w:rPr>
        <w:t>were transfected with TLR4 and PTEN vector</w:t>
      </w:r>
      <w:r w:rsidR="002C6D40" w:rsidRPr="002C6D40">
        <w:rPr>
          <w:rFonts w:eastAsiaTheme="minorEastAsia"/>
          <w:highlight w:val="yellow"/>
        </w:rPr>
        <w:t xml:space="preserve"> </w:t>
      </w:r>
      <w:r w:rsidR="002C6D40" w:rsidRPr="002C6D40">
        <w:rPr>
          <w:rFonts w:eastAsiaTheme="minorEastAsia"/>
          <w:highlight w:val="yellow"/>
        </w:rPr>
        <w:t>at a final concentration of 50 nmol/L using Lipofectamine 2000 (Invitrogen) following the protocol described by the manufacturer. After 48 hours of transfection, cells were used for the analysis of miR-301a-3p expression and other experiments.</w:t>
      </w:r>
    </w:p>
    <w:p w14:paraId="5862FF18" w14:textId="68E121B2" w:rsidR="00676FDF" w:rsidRDefault="00676FDF" w:rsidP="005570AB">
      <w:pPr>
        <w:rPr>
          <w:rFonts w:eastAsiaTheme="minorEastAsia"/>
        </w:rPr>
      </w:pPr>
    </w:p>
    <w:p w14:paraId="0AABA68A" w14:textId="77777777" w:rsidR="009A37CE" w:rsidRPr="00096730" w:rsidRDefault="009A37CE" w:rsidP="009A37CE">
      <w:pPr>
        <w:rPr>
          <w:rFonts w:eastAsiaTheme="minorEastAsia"/>
          <w:highlight w:val="yellow"/>
        </w:rPr>
      </w:pPr>
      <w:r w:rsidRPr="00096730">
        <w:rPr>
          <w:rFonts w:eastAsiaTheme="minorEastAsia"/>
          <w:highlight w:val="yellow"/>
        </w:rPr>
        <w:t>Luciferase reporter assay</w:t>
      </w:r>
    </w:p>
    <w:p w14:paraId="7FE2AF8F" w14:textId="6ADAC35E" w:rsidR="009A37CE" w:rsidRDefault="009A37CE" w:rsidP="005570AB">
      <w:pPr>
        <w:rPr>
          <w:rFonts w:eastAsiaTheme="minorEastAsia"/>
        </w:rPr>
      </w:pPr>
      <w:r w:rsidRPr="00096730">
        <w:rPr>
          <w:rFonts w:eastAsiaTheme="minorEastAsia"/>
          <w:highlight w:val="yellow"/>
        </w:rPr>
        <w:t>To construct luciferase reporter vectors, the 3ʹ-UTR of TLR4 and PTEN cDNA fragments containing the predicted potential miR-</w:t>
      </w:r>
      <w:r w:rsidRPr="00096730">
        <w:rPr>
          <w:highlight w:val="yellow"/>
        </w:rPr>
        <w:t>301a-3p</w:t>
      </w:r>
      <w:r w:rsidRPr="00096730">
        <w:rPr>
          <w:rFonts w:eastAsiaTheme="minorEastAsia"/>
          <w:highlight w:val="yellow"/>
        </w:rPr>
        <w:t xml:space="preserve"> binding sites were amplified by PCR and sub-cloned downstream of the luciferase gene in the </w:t>
      </w:r>
      <w:proofErr w:type="spellStart"/>
      <w:r w:rsidRPr="00096730">
        <w:rPr>
          <w:rFonts w:eastAsiaTheme="minorEastAsia"/>
          <w:highlight w:val="yellow"/>
        </w:rPr>
        <w:t>pmirGlo</w:t>
      </w:r>
      <w:proofErr w:type="spellEnd"/>
      <w:r w:rsidRPr="00096730">
        <w:rPr>
          <w:rFonts w:eastAsiaTheme="minorEastAsia"/>
          <w:highlight w:val="yellow"/>
        </w:rPr>
        <w:t xml:space="preserve"> Dual-Luciferase vector (Promega, Fitchburg, WI, USA).</w:t>
      </w:r>
      <w:r w:rsidRPr="00096730">
        <w:rPr>
          <w:highlight w:val="yellow"/>
        </w:rPr>
        <w:t xml:space="preserve"> CCSMCs</w:t>
      </w:r>
      <w:r w:rsidRPr="00096730">
        <w:rPr>
          <w:rFonts w:hint="eastAsia"/>
          <w:highlight w:val="yellow"/>
        </w:rPr>
        <w:t xml:space="preserve"> </w:t>
      </w:r>
      <w:r w:rsidRPr="00096730">
        <w:rPr>
          <w:rFonts w:eastAsiaTheme="minorEastAsia"/>
          <w:highlight w:val="yellow"/>
        </w:rPr>
        <w:t>cells were cultured in 24-well plates and co-transfected with 50 ng of the corresponding vectors containing firefly luciferase together with 25 ng of miR-</w:t>
      </w:r>
      <w:r w:rsidR="001C77F9" w:rsidRPr="00096730">
        <w:rPr>
          <w:highlight w:val="yellow"/>
        </w:rPr>
        <w:t>301a-3p</w:t>
      </w:r>
      <w:r w:rsidRPr="00096730">
        <w:rPr>
          <w:rFonts w:eastAsiaTheme="minorEastAsia"/>
          <w:highlight w:val="yellow"/>
        </w:rPr>
        <w:t xml:space="preserve"> or the control. Transfection was performed using Lipofectamine 2000 reagent (Invitrogen, Carlsbad, CA, USA). At 48 h post-transfection, relative luciferase activity was calculated by normalizing the Firefly luminescence to the </w:t>
      </w:r>
      <w:proofErr w:type="spellStart"/>
      <w:r w:rsidRPr="00096730">
        <w:rPr>
          <w:rFonts w:eastAsiaTheme="minorEastAsia"/>
          <w:highlight w:val="yellow"/>
        </w:rPr>
        <w:t>Renilla</w:t>
      </w:r>
      <w:proofErr w:type="spellEnd"/>
      <w:r w:rsidRPr="00096730">
        <w:rPr>
          <w:rFonts w:eastAsiaTheme="minorEastAsia"/>
          <w:highlight w:val="yellow"/>
        </w:rPr>
        <w:t xml:space="preserve"> luminescence using a Dual-Luciferase Reporter Assay (Promega, Fitchburg, WI, USA) according to the manufacturer’s instructions.</w:t>
      </w:r>
    </w:p>
    <w:p w14:paraId="3E4EB8DA" w14:textId="47996143" w:rsidR="009A37CE" w:rsidRDefault="009A37CE" w:rsidP="005570AB">
      <w:pPr>
        <w:rPr>
          <w:rFonts w:eastAsiaTheme="minorEastAsia"/>
        </w:rPr>
      </w:pPr>
    </w:p>
    <w:p w14:paraId="33B5CC14" w14:textId="77777777" w:rsidR="005F181F" w:rsidRPr="001A4DD0" w:rsidRDefault="005F181F" w:rsidP="005F181F">
      <w:pPr>
        <w:rPr>
          <w:rFonts w:eastAsiaTheme="minorEastAsia"/>
          <w:highlight w:val="yellow"/>
        </w:rPr>
      </w:pPr>
      <w:r w:rsidRPr="001A4DD0">
        <w:rPr>
          <w:rFonts w:eastAsiaTheme="minorEastAsia"/>
          <w:highlight w:val="yellow"/>
        </w:rPr>
        <w:t xml:space="preserve">Flow Cytometry Assay </w:t>
      </w:r>
    </w:p>
    <w:p w14:paraId="62352021" w14:textId="62C3569E" w:rsidR="00096730" w:rsidRDefault="005F181F" w:rsidP="005F181F">
      <w:pPr>
        <w:rPr>
          <w:rFonts w:eastAsiaTheme="minorEastAsia"/>
        </w:rPr>
      </w:pPr>
      <w:r w:rsidRPr="001A4DD0">
        <w:rPr>
          <w:highlight w:val="yellow"/>
        </w:rPr>
        <w:t>CCSMCs</w:t>
      </w:r>
      <w:r w:rsidRPr="001A4DD0">
        <w:rPr>
          <w:rFonts w:eastAsiaTheme="minorEastAsia"/>
          <w:highlight w:val="yellow"/>
        </w:rPr>
        <w:t xml:space="preserve"> cells were seeded into culture flasks. The cells were dual stained with Annexin V-FITC and propidium iodide (PI) for 30 min at room temperature. The stained cells were immediately analyzed by flow cytometry (Becton Dickinson, Franklin Lakes, NJ, USA). Apoptotic cells are defined by Annexin V-FITC positive and PI negative staining.</w:t>
      </w:r>
    </w:p>
    <w:p w14:paraId="4A82C585" w14:textId="77777777" w:rsidR="00096730" w:rsidRDefault="00096730" w:rsidP="005570AB">
      <w:pPr>
        <w:rPr>
          <w:rFonts w:eastAsiaTheme="minorEastAsia"/>
        </w:rPr>
      </w:pPr>
    </w:p>
    <w:p w14:paraId="40E57908" w14:textId="0C7DCE39" w:rsidR="005570AB" w:rsidRPr="00256CFD" w:rsidRDefault="005570AB" w:rsidP="005570AB">
      <w:r w:rsidRPr="00256CFD">
        <w:t>Autophagic flux analysis</w:t>
      </w:r>
    </w:p>
    <w:p w14:paraId="3E60F682" w14:textId="5FCBD73A" w:rsidR="005570AB" w:rsidRPr="00256CFD" w:rsidRDefault="005570AB" w:rsidP="005570AB">
      <w:r w:rsidRPr="00D84E71">
        <w:rPr>
          <w:highlight w:val="yellow"/>
        </w:rPr>
        <w:t>CCSMCs</w:t>
      </w:r>
      <w:r w:rsidRPr="00D84E71">
        <w:rPr>
          <w:rFonts w:hint="eastAsia"/>
          <w:highlight w:val="yellow"/>
        </w:rPr>
        <w:t xml:space="preserve"> were transfected with mRFP</w:t>
      </w:r>
      <w:r w:rsidR="009C11F0">
        <w:rPr>
          <w:rFonts w:hint="eastAsia"/>
          <w:highlight w:val="yellow"/>
        </w:rPr>
        <w:t>-</w:t>
      </w:r>
      <w:r w:rsidRPr="00D84E71">
        <w:rPr>
          <w:rFonts w:hint="eastAsia"/>
          <w:highlight w:val="yellow"/>
        </w:rPr>
        <w:t>GFP</w:t>
      </w:r>
      <w:r w:rsidR="009C11F0">
        <w:rPr>
          <w:rFonts w:hint="eastAsia"/>
          <w:highlight w:val="yellow"/>
        </w:rPr>
        <w:t>-</w:t>
      </w:r>
      <w:r w:rsidRPr="00D84E71">
        <w:rPr>
          <w:rFonts w:hint="eastAsia"/>
          <w:highlight w:val="yellow"/>
        </w:rPr>
        <w:t>LC3</w:t>
      </w:r>
      <w:r w:rsidR="00D84E71" w:rsidRPr="00D84E71">
        <w:rPr>
          <w:highlight w:val="yellow"/>
        </w:rPr>
        <w:t xml:space="preserve"> adenoviral vectors (</w:t>
      </w:r>
      <w:proofErr w:type="spellStart"/>
      <w:r w:rsidR="00D84E71" w:rsidRPr="00D84E71">
        <w:rPr>
          <w:highlight w:val="yellow"/>
        </w:rPr>
        <w:t>HanBio</w:t>
      </w:r>
      <w:proofErr w:type="spellEnd"/>
      <w:r w:rsidR="00D84E71" w:rsidRPr="00D84E71">
        <w:rPr>
          <w:highlight w:val="yellow"/>
        </w:rPr>
        <w:t>, Shanghai, China)</w:t>
      </w:r>
      <w:r w:rsidRPr="00256CFD">
        <w:rPr>
          <w:rFonts w:hint="eastAsia"/>
        </w:rPr>
        <w:t xml:space="preserve"> for 24 hours. After transfection, mRFP</w:t>
      </w:r>
      <w:r w:rsidR="009C11F0">
        <w:rPr>
          <w:rFonts w:hint="eastAsia"/>
        </w:rPr>
        <w:t>-</w:t>
      </w:r>
      <w:r w:rsidRPr="00256CFD">
        <w:rPr>
          <w:rFonts w:hint="eastAsia"/>
        </w:rPr>
        <w:t>GFP</w:t>
      </w:r>
      <w:r w:rsidR="009C11F0">
        <w:rPr>
          <w:rFonts w:hint="eastAsia"/>
        </w:rPr>
        <w:t>-</w:t>
      </w:r>
      <w:r w:rsidRPr="00256CFD">
        <w:rPr>
          <w:rFonts w:hint="eastAsia"/>
        </w:rPr>
        <w:t>LC3</w:t>
      </w:r>
      <w:r w:rsidR="009C11F0">
        <w:rPr>
          <w:rFonts w:hint="eastAsia"/>
        </w:rPr>
        <w:t>-</w:t>
      </w:r>
      <w:r w:rsidRPr="00DE0F5E">
        <w:t>CCSMC</w:t>
      </w:r>
      <w:r>
        <w:t>s</w:t>
      </w:r>
      <w:r w:rsidRPr="00256CFD">
        <w:rPr>
          <w:rFonts w:hint="eastAsia"/>
        </w:rPr>
        <w:t xml:space="preserve"> cells were fixed with 4% paraformaldehyde and stained </w:t>
      </w:r>
      <w:r>
        <w:t>using</w:t>
      </w:r>
      <w:r w:rsidRPr="00256CFD">
        <w:rPr>
          <w:rFonts w:hint="eastAsia"/>
        </w:rPr>
        <w:t xml:space="preserve"> 10</w:t>
      </w:r>
      <w:r>
        <w:t xml:space="preserve"> </w:t>
      </w:r>
      <w:r w:rsidRPr="00295A68">
        <w:t>μ</w:t>
      </w:r>
      <w:r w:rsidRPr="00256CFD">
        <w:rPr>
          <w:rFonts w:hint="eastAsia"/>
        </w:rPr>
        <w:t xml:space="preserve">mol/L Hoechst 33 342. </w:t>
      </w:r>
      <w:r>
        <w:lastRenderedPageBreak/>
        <w:t xml:space="preserve">An </w:t>
      </w:r>
      <w:r w:rsidRPr="00256CFD">
        <w:rPr>
          <w:rFonts w:hint="eastAsia"/>
        </w:rPr>
        <w:t>Operetta High Content Imaging System (Perkin</w:t>
      </w:r>
      <w:r w:rsidR="009C11F0">
        <w:rPr>
          <w:rFonts w:hint="eastAsia"/>
        </w:rPr>
        <w:t>-</w:t>
      </w:r>
      <w:r w:rsidRPr="00256CFD">
        <w:rPr>
          <w:rFonts w:hint="eastAsia"/>
        </w:rPr>
        <w:t>Elmer)</w:t>
      </w:r>
      <w:r>
        <w:t xml:space="preserve"> was used to obtain the images of the cells which were</w:t>
      </w:r>
      <w:r w:rsidRPr="00256CFD">
        <w:rPr>
          <w:rFonts w:hint="eastAsia"/>
        </w:rPr>
        <w:t xml:space="preserve"> analy</w:t>
      </w:r>
      <w:r>
        <w:t>z</w:t>
      </w:r>
      <w:r w:rsidRPr="00256CFD">
        <w:rPr>
          <w:rFonts w:hint="eastAsia"/>
        </w:rPr>
        <w:t>ed using Harmony analysis software (Perkin</w:t>
      </w:r>
      <w:r w:rsidR="009C11F0">
        <w:rPr>
          <w:rFonts w:hint="eastAsia"/>
        </w:rPr>
        <w:t>-</w:t>
      </w:r>
      <w:r w:rsidRPr="00256CFD">
        <w:rPr>
          <w:rFonts w:hint="eastAsia"/>
        </w:rPr>
        <w:t xml:space="preserve">Elmer). </w:t>
      </w:r>
      <w:r>
        <w:t>G</w:t>
      </w:r>
      <w:r w:rsidRPr="00256CFD">
        <w:rPr>
          <w:rFonts w:hint="eastAsia"/>
        </w:rPr>
        <w:t>reen fluorescent protein (GFP) or monomeric red fluorescent protein (</w:t>
      </w:r>
      <w:proofErr w:type="spellStart"/>
      <w:r w:rsidRPr="00256CFD">
        <w:rPr>
          <w:rFonts w:hint="eastAsia"/>
        </w:rPr>
        <w:t>mRFP</w:t>
      </w:r>
      <w:proofErr w:type="spellEnd"/>
      <w:r w:rsidRPr="00256CFD">
        <w:rPr>
          <w:rFonts w:hint="eastAsia"/>
        </w:rPr>
        <w:t>)</w:t>
      </w:r>
      <w:r>
        <w:t xml:space="preserve"> were used for cell detection</w:t>
      </w:r>
      <w:r w:rsidRPr="00256CFD">
        <w:rPr>
          <w:rFonts w:hint="eastAsia"/>
        </w:rPr>
        <w:t xml:space="preserve">. </w:t>
      </w:r>
      <w:r>
        <w:t>I</w:t>
      </w:r>
      <w:r w:rsidRPr="00256CFD">
        <w:t>n merged images</w:t>
      </w:r>
      <w:r>
        <w:t>,</w:t>
      </w:r>
      <w:r w:rsidRPr="00256CFD">
        <w:rPr>
          <w:rFonts w:hint="eastAsia"/>
        </w:rPr>
        <w:t xml:space="preserve"> </w:t>
      </w:r>
      <w:r>
        <w:t>p</w:t>
      </w:r>
      <w:r w:rsidRPr="00256CFD">
        <w:rPr>
          <w:rFonts w:hint="eastAsia"/>
        </w:rPr>
        <w:t>uncta in autophagosome and autolysosomes stained yellow and red r</w:t>
      </w:r>
      <w:r w:rsidRPr="00256CFD">
        <w:t>espectively</w:t>
      </w:r>
      <w:r>
        <w:t>.</w:t>
      </w:r>
      <w:r w:rsidRPr="00256CFD">
        <w:t xml:space="preserve"> Autophagic flux was determined by the increased percentage of red puncta in merged images.</w:t>
      </w:r>
    </w:p>
    <w:p w14:paraId="28DDA176" w14:textId="77777777" w:rsidR="005570AB" w:rsidRPr="00256CFD" w:rsidRDefault="005570AB" w:rsidP="005570AB"/>
    <w:p w14:paraId="5987E33D" w14:textId="515D232B" w:rsidR="005570AB" w:rsidRPr="00256CFD" w:rsidRDefault="005570AB" w:rsidP="005570AB">
      <w:r w:rsidRPr="00256CFD">
        <w:t>Electron microscopy</w:t>
      </w:r>
    </w:p>
    <w:p w14:paraId="4D257DEA" w14:textId="77777777" w:rsidR="005570AB" w:rsidRPr="00256CFD" w:rsidRDefault="005570AB" w:rsidP="005570AB">
      <w:r>
        <w:t xml:space="preserve">Fixation of </w:t>
      </w:r>
      <w:r w:rsidRPr="00DE0F5E">
        <w:t>CCSMC</w:t>
      </w:r>
      <w:r>
        <w:t>s</w:t>
      </w:r>
      <w:r>
        <w:rPr>
          <w:rFonts w:hint="eastAsia"/>
        </w:rPr>
        <w:t xml:space="preserve"> </w:t>
      </w:r>
      <w:r>
        <w:t>was done</w:t>
      </w:r>
      <w:r w:rsidRPr="00256CFD">
        <w:rPr>
          <w:rFonts w:hint="eastAsia"/>
        </w:rPr>
        <w:t xml:space="preserve"> </w:t>
      </w:r>
      <w:r>
        <w:t>using</w:t>
      </w:r>
      <w:r w:rsidRPr="00256CFD">
        <w:rPr>
          <w:rFonts w:hint="eastAsia"/>
        </w:rPr>
        <w:t xml:space="preserve"> 2.5% glutaraldehyde in PBS </w:t>
      </w:r>
      <w:r>
        <w:t>followed by</w:t>
      </w:r>
      <w:r w:rsidRPr="00256CFD">
        <w:rPr>
          <w:rFonts w:hint="eastAsia"/>
        </w:rPr>
        <w:t xml:space="preserve"> stor</w:t>
      </w:r>
      <w:r>
        <w:t>ing</w:t>
      </w:r>
      <w:r w:rsidRPr="00256CFD">
        <w:rPr>
          <w:rFonts w:hint="eastAsia"/>
        </w:rPr>
        <w:t xml:space="preserve"> at 4</w:t>
      </w:r>
      <w:r w:rsidRPr="00256CFD">
        <w:rPr>
          <w:rFonts w:hint="eastAsia"/>
        </w:rPr>
        <w:t>°</w:t>
      </w:r>
      <w:r w:rsidRPr="00256CFD">
        <w:rPr>
          <w:rFonts w:hint="eastAsia"/>
        </w:rPr>
        <w:t>C</w:t>
      </w:r>
      <w:r>
        <w:t>.</w:t>
      </w:r>
      <w:r w:rsidRPr="00256CFD">
        <w:rPr>
          <w:rFonts w:hint="eastAsia"/>
        </w:rPr>
        <w:t xml:space="preserve"> </w:t>
      </w:r>
      <w:r>
        <w:t>Post-fixation of the cells was done using</w:t>
      </w:r>
      <w:r w:rsidRPr="00256CFD">
        <w:rPr>
          <w:rFonts w:hint="eastAsia"/>
        </w:rPr>
        <w:t xml:space="preserve"> 1% osmium tetroxide followed by an increasing gradient dehydration step using ethanol and acetone.</w:t>
      </w:r>
      <w:r>
        <w:t xml:space="preserve"> </w:t>
      </w:r>
      <w:r w:rsidRPr="00256CFD">
        <w:rPr>
          <w:rFonts w:hint="eastAsia"/>
        </w:rPr>
        <w:t>Cells</w:t>
      </w:r>
      <w:r>
        <w:t xml:space="preserve"> </w:t>
      </w:r>
      <w:r w:rsidRPr="00256CFD">
        <w:rPr>
          <w:rFonts w:hint="eastAsia"/>
        </w:rPr>
        <w:t>were then embedded in Araldite</w:t>
      </w:r>
      <w:r>
        <w:t xml:space="preserve"> followed by sectioning where</w:t>
      </w:r>
      <w:r w:rsidRPr="00256CFD">
        <w:rPr>
          <w:rFonts w:hint="eastAsia"/>
        </w:rPr>
        <w:t xml:space="preserve"> ultrathin sections were obtained 50</w:t>
      </w:r>
      <w:r w:rsidRPr="00256CFD">
        <w:rPr>
          <w:rFonts w:hint="eastAsia"/>
        </w:rPr>
        <w:t>‐</w:t>
      </w:r>
      <w:r w:rsidRPr="00256CFD">
        <w:rPr>
          <w:rFonts w:hint="eastAsia"/>
        </w:rPr>
        <w:t>60 nm</w:t>
      </w:r>
      <w:r>
        <w:t>.</w:t>
      </w:r>
      <w:r w:rsidRPr="00256CFD">
        <w:rPr>
          <w:rFonts w:hint="eastAsia"/>
        </w:rPr>
        <w:t xml:space="preserve"> </w:t>
      </w:r>
      <w:r>
        <w:t xml:space="preserve">Obtained sections were </w:t>
      </w:r>
      <w:r w:rsidRPr="00256CFD">
        <w:rPr>
          <w:rFonts w:hint="eastAsia"/>
        </w:rPr>
        <w:t xml:space="preserve">placed on uncoated copper grids and stained </w:t>
      </w:r>
      <w:r>
        <w:t>using</w:t>
      </w:r>
      <w:r w:rsidRPr="00256CFD">
        <w:rPr>
          <w:rFonts w:hint="eastAsia"/>
        </w:rPr>
        <w:t xml:space="preserve"> 3% lead citrate</w:t>
      </w:r>
      <w:r>
        <w:rPr>
          <w:rFonts w:hint="eastAsia"/>
        </w:rPr>
        <w:t>-</w:t>
      </w:r>
      <w:r w:rsidRPr="00256CFD">
        <w:rPr>
          <w:rFonts w:hint="eastAsia"/>
        </w:rPr>
        <w:t xml:space="preserve">uranyl acetate. Images </w:t>
      </w:r>
      <w:r>
        <w:t xml:space="preserve">of the sections </w:t>
      </w:r>
      <w:r w:rsidRPr="00256CFD">
        <w:rPr>
          <w:rFonts w:hint="eastAsia"/>
        </w:rPr>
        <w:t xml:space="preserve">were </w:t>
      </w:r>
      <w:r>
        <w:t>captured</w:t>
      </w:r>
      <w:r w:rsidRPr="00256CFD">
        <w:rPr>
          <w:rFonts w:hint="eastAsia"/>
        </w:rPr>
        <w:t xml:space="preserve"> using a CM</w:t>
      </w:r>
      <w:r>
        <w:rPr>
          <w:rFonts w:hint="eastAsia"/>
        </w:rPr>
        <w:t>-</w:t>
      </w:r>
      <w:r w:rsidRPr="00256CFD">
        <w:rPr>
          <w:rFonts w:hint="eastAsia"/>
        </w:rPr>
        <w:t>120 electron microscope (Philips).</w:t>
      </w:r>
    </w:p>
    <w:p w14:paraId="1F57A6A6" w14:textId="77777777" w:rsidR="004E2CF8" w:rsidRPr="005570AB" w:rsidRDefault="004E2CF8"/>
    <w:sectPr w:rsidR="004E2CF8" w:rsidRPr="005570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7749C" w14:textId="77777777" w:rsidR="00D54028" w:rsidRDefault="00D54028" w:rsidP="004857E9">
      <w:r>
        <w:separator/>
      </w:r>
    </w:p>
  </w:endnote>
  <w:endnote w:type="continuationSeparator" w:id="0">
    <w:p w14:paraId="5CD26470" w14:textId="77777777" w:rsidR="00D54028" w:rsidRDefault="00D54028" w:rsidP="0048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33878" w14:textId="77777777" w:rsidR="00D54028" w:rsidRDefault="00D54028" w:rsidP="004857E9">
      <w:r>
        <w:separator/>
      </w:r>
    </w:p>
  </w:footnote>
  <w:footnote w:type="continuationSeparator" w:id="0">
    <w:p w14:paraId="564B75CE" w14:textId="77777777" w:rsidR="00D54028" w:rsidRDefault="00D54028" w:rsidP="004857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0AB"/>
    <w:rsid w:val="00096730"/>
    <w:rsid w:val="001A03A6"/>
    <w:rsid w:val="001A4DD0"/>
    <w:rsid w:val="001C77F9"/>
    <w:rsid w:val="002C6D40"/>
    <w:rsid w:val="002F0958"/>
    <w:rsid w:val="003166E2"/>
    <w:rsid w:val="00366AFA"/>
    <w:rsid w:val="004857E9"/>
    <w:rsid w:val="004E2CF8"/>
    <w:rsid w:val="005570AB"/>
    <w:rsid w:val="005F181F"/>
    <w:rsid w:val="00676FDF"/>
    <w:rsid w:val="006A36F0"/>
    <w:rsid w:val="007E5013"/>
    <w:rsid w:val="007E6DC3"/>
    <w:rsid w:val="008F7B57"/>
    <w:rsid w:val="009A37CE"/>
    <w:rsid w:val="009C11F0"/>
    <w:rsid w:val="009E4731"/>
    <w:rsid w:val="00A23E00"/>
    <w:rsid w:val="00AC1FB6"/>
    <w:rsid w:val="00BC4B5C"/>
    <w:rsid w:val="00C2522B"/>
    <w:rsid w:val="00D54028"/>
    <w:rsid w:val="00D84E71"/>
    <w:rsid w:val="00D96C2A"/>
    <w:rsid w:val="00ED1E3C"/>
    <w:rsid w:val="00F54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66A5C"/>
  <w15:chartTrackingRefBased/>
  <w15:docId w15:val="{813A0E60-B47B-4749-A89C-8839BC15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0AB"/>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7E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857E9"/>
    <w:rPr>
      <w:sz w:val="18"/>
      <w:szCs w:val="18"/>
    </w:rPr>
  </w:style>
  <w:style w:type="paragraph" w:styleId="a5">
    <w:name w:val="footer"/>
    <w:basedOn w:val="a"/>
    <w:link w:val="a6"/>
    <w:uiPriority w:val="99"/>
    <w:unhideWhenUsed/>
    <w:rsid w:val="004857E9"/>
    <w:pPr>
      <w:tabs>
        <w:tab w:val="center" w:pos="4153"/>
        <w:tab w:val="right" w:pos="8306"/>
      </w:tabs>
      <w:snapToGrid w:val="0"/>
      <w:jc w:val="left"/>
    </w:pPr>
    <w:rPr>
      <w:sz w:val="18"/>
      <w:szCs w:val="18"/>
    </w:rPr>
  </w:style>
  <w:style w:type="character" w:customStyle="1" w:styleId="a6">
    <w:name w:val="页脚 字符"/>
    <w:basedOn w:val="a0"/>
    <w:link w:val="a5"/>
    <w:uiPriority w:val="99"/>
    <w:rsid w:val="004857E9"/>
    <w:rPr>
      <w:sz w:val="18"/>
      <w:szCs w:val="18"/>
    </w:rPr>
  </w:style>
  <w:style w:type="paragraph" w:styleId="a7">
    <w:name w:val="Balloon Text"/>
    <w:basedOn w:val="a"/>
    <w:link w:val="a8"/>
    <w:uiPriority w:val="99"/>
    <w:semiHidden/>
    <w:unhideWhenUsed/>
    <w:rsid w:val="004857E9"/>
    <w:rPr>
      <w:sz w:val="18"/>
      <w:szCs w:val="18"/>
    </w:rPr>
  </w:style>
  <w:style w:type="character" w:customStyle="1" w:styleId="a8">
    <w:name w:val="批注框文本 字符"/>
    <w:basedOn w:val="a0"/>
    <w:link w:val="a7"/>
    <w:uiPriority w:val="99"/>
    <w:semiHidden/>
    <w:rsid w:val="004857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913</Words>
  <Characters>5206</Characters>
  <Application>Microsoft Office Word</Application>
  <DocSecurity>0</DocSecurity>
  <Lines>43</Lines>
  <Paragraphs>12</Paragraphs>
  <ScaleCrop>false</ScaleCrop>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2020-07-25T07:42:00Z</dcterms:created>
  <dcterms:modified xsi:type="dcterms:W3CDTF">2020-11-12T15:25:00Z</dcterms:modified>
</cp:coreProperties>
</file>