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4474" w14:textId="7C25D1A0" w:rsidR="00FA63D7" w:rsidRPr="00780F61" w:rsidRDefault="0032525D" w:rsidP="001E3D12">
      <w:pPr>
        <w:widowControl w:val="0"/>
        <w:rPr>
          <w:rFonts w:eastAsia="Calibri"/>
          <w:b/>
          <w:bCs/>
          <w:color w:val="2A2A2A"/>
          <w:lang w:val="en-US"/>
        </w:rPr>
      </w:pPr>
      <w:r w:rsidRPr="00780F61">
        <w:rPr>
          <w:rFonts w:eastAsia="Calibri"/>
          <w:b/>
          <w:bCs/>
          <w:color w:val="2A2A2A"/>
          <w:lang w:val="en-US"/>
        </w:rPr>
        <w:t>Additional file 1</w:t>
      </w:r>
    </w:p>
    <w:p w14:paraId="076A120C" w14:textId="77777777" w:rsidR="001E3D12" w:rsidRDefault="001E3D12" w:rsidP="001E3D12">
      <w:pPr>
        <w:widowControl w:val="0"/>
        <w:rPr>
          <w:rFonts w:ascii="Calibri" w:eastAsia="Calibri" w:hAnsi="Calibri" w:cs="Calibri"/>
          <w:color w:val="2A2A2A"/>
          <w:lang w:val="en-US"/>
        </w:rPr>
      </w:pPr>
    </w:p>
    <w:p w14:paraId="0B43124E" w14:textId="77777777" w:rsidR="001E3D12" w:rsidRDefault="001E3D12" w:rsidP="001E3D12">
      <w:pPr>
        <w:widowControl w:val="0"/>
        <w:rPr>
          <w:rFonts w:ascii="Calibri" w:eastAsia="Calibri" w:hAnsi="Calibri" w:cs="Calibri"/>
          <w:color w:val="2A2A2A"/>
          <w:lang w:val="en-US"/>
        </w:rPr>
      </w:pPr>
    </w:p>
    <w:tbl>
      <w:tblPr>
        <w:tblW w:w="1133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23"/>
        <w:gridCol w:w="255"/>
        <w:gridCol w:w="1460"/>
        <w:gridCol w:w="211"/>
        <w:gridCol w:w="1546"/>
        <w:gridCol w:w="211"/>
        <w:gridCol w:w="1548"/>
        <w:gridCol w:w="122"/>
        <w:gridCol w:w="962"/>
      </w:tblGrid>
      <w:tr w:rsidR="001E3D12" w:rsidRPr="00CB5905" w14:paraId="5D79018A" w14:textId="77777777" w:rsidTr="001E3D12">
        <w:trPr>
          <w:trHeight w:val="585"/>
          <w:jc w:val="center"/>
        </w:trPr>
        <w:tc>
          <w:tcPr>
            <w:tcW w:w="11338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721F9CD" w14:textId="0341AED7" w:rsidR="001E3D12" w:rsidRPr="001A44B2" w:rsidRDefault="00FA63D7" w:rsidP="00F34D10">
            <w:pPr>
              <w:rPr>
                <w:sz w:val="21"/>
                <w:lang w:val="en-US"/>
              </w:rPr>
            </w:pPr>
            <w:r>
              <w:rPr>
                <w:b/>
                <w:bCs/>
                <w:sz w:val="21"/>
                <w:lang w:val="en-US"/>
              </w:rPr>
              <w:t>S</w:t>
            </w:r>
            <w:r w:rsidR="00965DE0">
              <w:rPr>
                <w:b/>
                <w:bCs/>
                <w:sz w:val="21"/>
                <w:lang w:val="en-US"/>
              </w:rPr>
              <w:t>upplemental</w:t>
            </w:r>
            <w:r>
              <w:rPr>
                <w:b/>
                <w:bCs/>
                <w:sz w:val="21"/>
                <w:lang w:val="en-US"/>
              </w:rPr>
              <w:t xml:space="preserve"> T</w:t>
            </w:r>
            <w:r w:rsidR="00965DE0">
              <w:rPr>
                <w:b/>
                <w:bCs/>
                <w:sz w:val="21"/>
                <w:lang w:val="en-US"/>
              </w:rPr>
              <w:t xml:space="preserve">able </w:t>
            </w:r>
            <w:r>
              <w:rPr>
                <w:b/>
                <w:bCs/>
                <w:sz w:val="21"/>
                <w:lang w:val="en-US"/>
              </w:rPr>
              <w:t>1</w:t>
            </w:r>
            <w:r w:rsidR="001E3D12">
              <w:rPr>
                <w:b/>
                <w:bCs/>
                <w:sz w:val="21"/>
                <w:lang w:val="en-US"/>
              </w:rPr>
              <w:t>.</w:t>
            </w:r>
            <w:r w:rsidR="001E3D12" w:rsidRPr="001A44B2">
              <w:rPr>
                <w:b/>
                <w:bCs/>
                <w:sz w:val="21"/>
                <w:lang w:val="en-US"/>
              </w:rPr>
              <w:t xml:space="preserve"> </w:t>
            </w:r>
            <w:r w:rsidR="001E3D12" w:rsidRPr="00FA63D7">
              <w:rPr>
                <w:sz w:val="21"/>
                <w:lang w:val="en-US"/>
              </w:rPr>
              <w:t>Risk of Type 2 Diabetes according to categories of soft drinks intake in participants from HWCS</w:t>
            </w:r>
            <w:r w:rsidR="00A9621E" w:rsidRPr="00FA63D7">
              <w:rPr>
                <w:sz w:val="21"/>
                <w:vertAlign w:val="superscript"/>
                <w:lang w:val="en-US"/>
              </w:rPr>
              <w:t>1</w:t>
            </w:r>
            <w:r w:rsidR="001E3D12" w:rsidRPr="00FA63D7">
              <w:rPr>
                <w:sz w:val="21"/>
                <w:lang w:val="en-US"/>
              </w:rPr>
              <w:t xml:space="preserve"> (n=1,445)</w:t>
            </w:r>
          </w:p>
        </w:tc>
      </w:tr>
      <w:tr w:rsidR="001E3D12" w:rsidRPr="001A44B2" w14:paraId="35B3AFAC" w14:textId="77777777" w:rsidTr="00F34D10">
        <w:trPr>
          <w:trHeight w:val="219"/>
          <w:jc w:val="center"/>
        </w:trPr>
        <w:tc>
          <w:tcPr>
            <w:tcW w:w="50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63D03B2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DC3811A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6060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03CC08E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Consumption level</w:t>
            </w:r>
          </w:p>
        </w:tc>
      </w:tr>
      <w:tr w:rsidR="001E3D12" w:rsidRPr="001A44B2" w14:paraId="0BDC6364" w14:textId="77777777" w:rsidTr="00F34D10">
        <w:trPr>
          <w:trHeight w:val="234"/>
          <w:jc w:val="center"/>
        </w:trPr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9673A25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82E6B72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7DCAB43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&lt; 1/week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7A301AD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3844FF8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1-4 /week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5FCBC54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BD1B730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u w:val="single"/>
                <w:lang w:val="en-US"/>
              </w:rPr>
              <w:t>&gt;</w:t>
            </w:r>
            <w:r w:rsidRPr="001A44B2">
              <w:rPr>
                <w:sz w:val="21"/>
                <w:lang w:val="en-US"/>
              </w:rPr>
              <w:t>5/week</w:t>
            </w:r>
          </w:p>
        </w:tc>
        <w:tc>
          <w:tcPr>
            <w:tcW w:w="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76D69A8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B7B14DF" w14:textId="4EAF9F72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i/>
                <w:iCs/>
                <w:sz w:val="21"/>
                <w:lang w:val="en-US"/>
              </w:rPr>
              <w:t xml:space="preserve">p </w:t>
            </w:r>
            <w:r w:rsidRPr="00746F8D">
              <w:rPr>
                <w:iCs/>
                <w:sz w:val="21"/>
                <w:vertAlign w:val="subscript"/>
                <w:lang w:val="en-US"/>
              </w:rPr>
              <w:t>trend</w:t>
            </w:r>
            <w:r w:rsidR="00A9621E" w:rsidRPr="00A9621E">
              <w:rPr>
                <w:iCs/>
                <w:sz w:val="21"/>
                <w:vertAlign w:val="superscript"/>
                <w:lang w:val="en-US"/>
              </w:rPr>
              <w:t>2</w:t>
            </w:r>
          </w:p>
        </w:tc>
      </w:tr>
      <w:tr w:rsidR="001E3D12" w:rsidRPr="001A44B2" w14:paraId="4DD12FFA" w14:textId="77777777" w:rsidTr="00F34D10">
        <w:trPr>
          <w:trHeight w:val="234"/>
          <w:jc w:val="center"/>
        </w:trPr>
        <w:tc>
          <w:tcPr>
            <w:tcW w:w="502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0DDA588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Median</w:t>
            </w:r>
            <w:r>
              <w:rPr>
                <w:sz w:val="21"/>
                <w:lang w:val="en-US"/>
              </w:rPr>
              <w:t xml:space="preserve"> (IQR), servings per week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22420B4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F079279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0</w:t>
            </w:r>
            <w:r>
              <w:rPr>
                <w:sz w:val="21"/>
                <w:lang w:val="en-US"/>
              </w:rPr>
              <w:t>.2 (0.1-0.2)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08B1A2E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37811AE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1.5 (1.1-3.1)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04B182D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BEB59A2" w14:textId="5B0F6DC6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7.1</w:t>
            </w:r>
            <w:r w:rsidR="00C95667">
              <w:rPr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(6.0-10.0)</w:t>
            </w:r>
          </w:p>
        </w:tc>
        <w:tc>
          <w:tcPr>
            <w:tcW w:w="1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EDA42E3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644F0A7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261BAA">
              <w:rPr>
                <w:rFonts w:eastAsia="Calibri"/>
                <w:color w:val="000000"/>
                <w:sz w:val="20"/>
                <w:szCs w:val="20"/>
                <w:lang w:val="en-US" w:eastAsia="es-ES_tradnl"/>
              </w:rPr>
              <w:t>&lt;0.001</w:t>
            </w:r>
          </w:p>
        </w:tc>
      </w:tr>
      <w:tr w:rsidR="001E3D12" w:rsidRPr="001A44B2" w14:paraId="7F77AE8E" w14:textId="77777777" w:rsidTr="00F34D10">
        <w:trPr>
          <w:trHeight w:val="234"/>
          <w:jc w:val="center"/>
        </w:trPr>
        <w:tc>
          <w:tcPr>
            <w:tcW w:w="502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D2A66A7" w14:textId="77777777" w:rsidR="001E3D12" w:rsidRPr="001A44B2" w:rsidRDefault="001E3D12" w:rsidP="00F34D10">
            <w:pPr>
              <w:tabs>
                <w:tab w:val="center" w:pos="2008"/>
              </w:tabs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n</w:t>
            </w:r>
            <w:r>
              <w:rPr>
                <w:sz w:val="21"/>
                <w:lang w:val="en-US"/>
              </w:rPr>
              <w:tab/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EB116E6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AC81D58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3</w:t>
            </w:r>
            <w:r>
              <w:rPr>
                <w:sz w:val="21"/>
                <w:lang w:val="en-US"/>
              </w:rPr>
              <w:t>61</w:t>
            </w: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A1A7DC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5572536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770</w:t>
            </w: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B3B692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13CC8AB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314</w:t>
            </w:r>
          </w:p>
        </w:tc>
        <w:tc>
          <w:tcPr>
            <w:tcW w:w="1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3EB0C02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B3871EF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</w:tr>
      <w:tr w:rsidR="001E3D12" w:rsidRPr="001A44B2" w14:paraId="223D74E1" w14:textId="77777777" w:rsidTr="00F34D10">
        <w:trPr>
          <w:trHeight w:val="219"/>
          <w:jc w:val="center"/>
        </w:trPr>
        <w:tc>
          <w:tcPr>
            <w:tcW w:w="502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D70861B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Cases of type 2 d</w:t>
            </w:r>
            <w:r w:rsidRPr="001A44B2">
              <w:rPr>
                <w:sz w:val="21"/>
                <w:lang w:val="en-US"/>
              </w:rPr>
              <w:t>iabetes (n=1</w:t>
            </w:r>
            <w:r>
              <w:rPr>
                <w:sz w:val="21"/>
                <w:lang w:val="en-US"/>
              </w:rPr>
              <w:t>09</w:t>
            </w:r>
            <w:r w:rsidRPr="001A44B2">
              <w:rPr>
                <w:sz w:val="21"/>
                <w:lang w:val="en-US"/>
              </w:rPr>
              <w:t>)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0D591D9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C491C15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18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BC71AD6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05D48F9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56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5C5725E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2C1480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35</w:t>
            </w:r>
          </w:p>
        </w:tc>
        <w:tc>
          <w:tcPr>
            <w:tcW w:w="12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BF42FA0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1D3B7C3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</w:tr>
      <w:tr w:rsidR="001E3D12" w:rsidRPr="001A44B2" w14:paraId="274A7C2C" w14:textId="77777777" w:rsidTr="00F34D10">
        <w:trPr>
          <w:trHeight w:val="234"/>
          <w:jc w:val="center"/>
        </w:trPr>
        <w:tc>
          <w:tcPr>
            <w:tcW w:w="502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AB9A8B1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Person-years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F8956AF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2CF3CE2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2371.8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35F849E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26F6510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5113.4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684CB1D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F70E922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2040.9</w:t>
            </w:r>
          </w:p>
        </w:tc>
        <w:tc>
          <w:tcPr>
            <w:tcW w:w="12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9AC8FC6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C147147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</w:tr>
      <w:tr w:rsidR="001E3D12" w:rsidRPr="001A44B2" w14:paraId="4C47D32C" w14:textId="77777777" w:rsidTr="00F34D10">
        <w:trPr>
          <w:trHeight w:val="219"/>
          <w:jc w:val="center"/>
        </w:trPr>
        <w:tc>
          <w:tcPr>
            <w:tcW w:w="502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F8A737B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Incidence rate (per 1</w:t>
            </w:r>
            <w:r>
              <w:rPr>
                <w:sz w:val="21"/>
                <w:lang w:val="en-US"/>
              </w:rPr>
              <w:t>,</w:t>
            </w:r>
            <w:r w:rsidRPr="001A44B2">
              <w:rPr>
                <w:sz w:val="21"/>
                <w:lang w:val="en-US"/>
              </w:rPr>
              <w:t>000)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D7D2B2C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5EE09A2" w14:textId="421248AF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7.6</w:t>
            </w:r>
            <w:r w:rsidR="002A3BBB">
              <w:rPr>
                <w:sz w:val="21"/>
                <w:lang w:val="en-US"/>
              </w:rPr>
              <w:t xml:space="preserve"> </w:t>
            </w:r>
            <w:r w:rsidRPr="001A44B2">
              <w:rPr>
                <w:sz w:val="21"/>
                <w:lang w:val="en-US"/>
              </w:rPr>
              <w:t>(</w:t>
            </w:r>
            <w:r>
              <w:rPr>
                <w:sz w:val="21"/>
                <w:lang w:val="en-US"/>
              </w:rPr>
              <w:t>4.8-12.0</w:t>
            </w:r>
            <w:r w:rsidRPr="001A44B2">
              <w:rPr>
                <w:sz w:val="21"/>
                <w:lang w:val="en-US"/>
              </w:rPr>
              <w:t>)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7F44CBE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230D40A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11.0 (8.4-10.2</w:t>
            </w:r>
            <w:r w:rsidRPr="001A44B2">
              <w:rPr>
                <w:sz w:val="21"/>
                <w:lang w:val="en-US"/>
              </w:rPr>
              <w:t>)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643544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0042C89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1</w:t>
            </w:r>
            <w:r>
              <w:rPr>
                <w:sz w:val="21"/>
                <w:lang w:val="en-US"/>
              </w:rPr>
              <w:t>7.1 (12.3-23.8</w:t>
            </w:r>
            <w:r w:rsidRPr="001A44B2">
              <w:rPr>
                <w:sz w:val="21"/>
                <w:lang w:val="en-US"/>
              </w:rPr>
              <w:t>)</w:t>
            </w:r>
          </w:p>
        </w:tc>
        <w:tc>
          <w:tcPr>
            <w:tcW w:w="12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B2D6553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7950E07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</w:tr>
      <w:tr w:rsidR="001E3D12" w:rsidRPr="000271D7" w14:paraId="75AF0851" w14:textId="77777777" w:rsidTr="00F34D10">
        <w:trPr>
          <w:trHeight w:val="219"/>
          <w:jc w:val="center"/>
        </w:trPr>
        <w:tc>
          <w:tcPr>
            <w:tcW w:w="502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A7D1466" w14:textId="768966DD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Multivariate-adjusted</w:t>
            </w:r>
            <w:r w:rsidR="00A9621E" w:rsidRPr="00A9621E">
              <w:rPr>
                <w:sz w:val="21"/>
                <w:vertAlign w:val="superscript"/>
                <w:lang w:val="en-US"/>
              </w:rPr>
              <w:t>3</w:t>
            </w:r>
            <w:r>
              <w:rPr>
                <w:sz w:val="21"/>
                <w:vertAlign w:val="superscript"/>
                <w:lang w:val="en-US"/>
              </w:rPr>
              <w:t xml:space="preserve"> </w:t>
            </w:r>
            <w:r w:rsidRPr="001A44B2">
              <w:rPr>
                <w:sz w:val="21"/>
                <w:lang w:val="en-US"/>
              </w:rPr>
              <w:t>+</w:t>
            </w:r>
            <w:r>
              <w:rPr>
                <w:sz w:val="21"/>
                <w:lang w:val="en-US"/>
              </w:rPr>
              <w:t xml:space="preserve"> </w:t>
            </w:r>
            <w:r w:rsidRPr="001A44B2">
              <w:rPr>
                <w:sz w:val="21"/>
                <w:lang w:val="en-US"/>
              </w:rPr>
              <w:t>hypertension, HR (95% CI)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B848FF5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7936A12" w14:textId="77777777" w:rsidR="001E3D1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Ref</w:t>
            </w:r>
            <w:r>
              <w:rPr>
                <w:sz w:val="21"/>
                <w:lang w:val="en-US"/>
              </w:rPr>
              <w:t>.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D58F3A2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8873F15" w14:textId="77777777" w:rsidR="001E3D1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1</w:t>
            </w:r>
            <w:r>
              <w:rPr>
                <w:sz w:val="21"/>
                <w:lang w:val="en-US"/>
              </w:rPr>
              <w:t>.3</w:t>
            </w:r>
            <w:r w:rsidRPr="001A44B2">
              <w:rPr>
                <w:sz w:val="21"/>
                <w:lang w:val="en-US"/>
              </w:rPr>
              <w:t xml:space="preserve"> (</w:t>
            </w:r>
            <w:r>
              <w:rPr>
                <w:sz w:val="21"/>
                <w:lang w:val="en-US"/>
              </w:rPr>
              <w:t>0.8-2.3</w:t>
            </w:r>
            <w:r w:rsidRPr="001A44B2">
              <w:rPr>
                <w:sz w:val="21"/>
                <w:lang w:val="en-US"/>
              </w:rPr>
              <w:t>)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78BC91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8AD731B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1.9 (1.1-3.6)</w:t>
            </w:r>
          </w:p>
        </w:tc>
        <w:tc>
          <w:tcPr>
            <w:tcW w:w="12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3125BC29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FB0335C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0.031</w:t>
            </w:r>
          </w:p>
        </w:tc>
      </w:tr>
      <w:tr w:rsidR="001E3D12" w:rsidRPr="00404902" w14:paraId="1DE19F56" w14:textId="77777777" w:rsidTr="002A3BBB">
        <w:trPr>
          <w:trHeight w:val="234"/>
          <w:jc w:val="center"/>
        </w:trPr>
        <w:tc>
          <w:tcPr>
            <w:tcW w:w="502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6DEF898" w14:textId="6B4D9994" w:rsidR="001E3D12" w:rsidRPr="00053EF6" w:rsidRDefault="001E3D12" w:rsidP="00F34D10">
            <w:pPr>
              <w:rPr>
                <w:sz w:val="21"/>
                <w:highlight w:val="yellow"/>
                <w:lang w:val="en-US"/>
              </w:rPr>
            </w:pPr>
            <w:r>
              <w:rPr>
                <w:sz w:val="21"/>
                <w:lang w:val="en-US"/>
              </w:rPr>
              <w:t>Multivariate-adjusted</w:t>
            </w:r>
            <w:r w:rsidR="00A9621E" w:rsidRPr="00A9621E">
              <w:rPr>
                <w:sz w:val="21"/>
                <w:vertAlign w:val="superscript"/>
                <w:lang w:val="en-US"/>
              </w:rPr>
              <w:t>3</w:t>
            </w:r>
            <w:r>
              <w:rPr>
                <w:sz w:val="21"/>
                <w:lang w:val="en-US"/>
              </w:rPr>
              <w:t xml:space="preserve"> </w:t>
            </w:r>
            <w:r w:rsidRPr="00FA1B4A">
              <w:rPr>
                <w:sz w:val="21"/>
                <w:lang w:val="en-US"/>
              </w:rPr>
              <w:t>+ BMI, HR (95% CI)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2F3D215" w14:textId="77777777" w:rsidR="001E3D12" w:rsidRPr="00053EF6" w:rsidRDefault="001E3D12" w:rsidP="00F34D10">
            <w:pPr>
              <w:rPr>
                <w:sz w:val="21"/>
                <w:highlight w:val="yellow"/>
                <w:lang w:val="en-US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ECF5AEE" w14:textId="77777777" w:rsidR="001E3D12" w:rsidRPr="00FA1B4A" w:rsidRDefault="001E3D12" w:rsidP="00F34D10">
            <w:pPr>
              <w:jc w:val="center"/>
              <w:rPr>
                <w:sz w:val="21"/>
                <w:lang w:val="en-US"/>
              </w:rPr>
            </w:pPr>
            <w:r w:rsidRPr="00FA1B4A">
              <w:rPr>
                <w:sz w:val="21"/>
                <w:lang w:val="en-US"/>
              </w:rPr>
              <w:t>Ref.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3E01423" w14:textId="77777777" w:rsidR="001E3D12" w:rsidRPr="00FA1B4A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671349F" w14:textId="77777777" w:rsidR="001E3D12" w:rsidRPr="00FA1B4A" w:rsidRDefault="001E3D12" w:rsidP="00F34D10">
            <w:pPr>
              <w:jc w:val="center"/>
              <w:rPr>
                <w:sz w:val="21"/>
                <w:lang w:val="en-US"/>
              </w:rPr>
            </w:pPr>
            <w:r w:rsidRPr="00FA1B4A">
              <w:rPr>
                <w:sz w:val="21"/>
                <w:lang w:val="en-US"/>
              </w:rPr>
              <w:t>1.1 (0.6-1.8)</w:t>
            </w:r>
          </w:p>
        </w:tc>
        <w:tc>
          <w:tcPr>
            <w:tcW w:w="211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FFC6A31" w14:textId="77777777" w:rsidR="001E3D12" w:rsidRPr="00FA1B4A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18296A4" w14:textId="77777777" w:rsidR="001E3D12" w:rsidRPr="00FA1B4A" w:rsidRDefault="001E3D12" w:rsidP="00F34D10">
            <w:pPr>
              <w:jc w:val="center"/>
              <w:rPr>
                <w:sz w:val="21"/>
                <w:lang w:val="en-US"/>
              </w:rPr>
            </w:pPr>
            <w:r w:rsidRPr="00FA1B4A">
              <w:rPr>
                <w:sz w:val="21"/>
                <w:lang w:val="en-US"/>
              </w:rPr>
              <w:t>1.6 (0.8-2.9)</w:t>
            </w:r>
          </w:p>
        </w:tc>
        <w:tc>
          <w:tcPr>
            <w:tcW w:w="12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9D9FE4C" w14:textId="77777777" w:rsidR="001E3D12" w:rsidRPr="00FA1B4A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AFD98F3" w14:textId="77777777" w:rsidR="001E3D12" w:rsidRPr="00FA1B4A" w:rsidRDefault="001E3D12" w:rsidP="00F34D10">
            <w:pPr>
              <w:jc w:val="center"/>
              <w:rPr>
                <w:sz w:val="21"/>
                <w:lang w:val="en-US"/>
              </w:rPr>
            </w:pPr>
            <w:r w:rsidRPr="00FA1B4A">
              <w:rPr>
                <w:sz w:val="21"/>
                <w:lang w:val="en-US"/>
              </w:rPr>
              <w:t>0.009</w:t>
            </w:r>
          </w:p>
        </w:tc>
      </w:tr>
      <w:tr w:rsidR="001E3D12" w:rsidRPr="007676FF" w14:paraId="55274C65" w14:textId="77777777" w:rsidTr="002A3BBB">
        <w:trPr>
          <w:trHeight w:val="190"/>
          <w:jc w:val="center"/>
        </w:trPr>
        <w:tc>
          <w:tcPr>
            <w:tcW w:w="5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3AA5FDC" w14:textId="5C594627" w:rsidR="001E3D12" w:rsidRPr="00053EF6" w:rsidRDefault="001E3D12" w:rsidP="00F34D10">
            <w:pPr>
              <w:rPr>
                <w:sz w:val="21"/>
                <w:highlight w:val="yellow"/>
                <w:lang w:val="en-US"/>
              </w:rPr>
            </w:pPr>
            <w:r w:rsidRPr="007676FF">
              <w:rPr>
                <w:sz w:val="21"/>
                <w:lang w:val="en-US"/>
              </w:rPr>
              <w:t>Multivariate-adjusted</w:t>
            </w:r>
            <w:r w:rsidR="00A9621E" w:rsidRPr="00A9621E">
              <w:rPr>
                <w:sz w:val="21"/>
                <w:vertAlign w:val="superscript"/>
                <w:lang w:val="en-US"/>
              </w:rPr>
              <w:t>3</w:t>
            </w:r>
            <w:r>
              <w:rPr>
                <w:sz w:val="21"/>
                <w:lang w:val="en-US"/>
              </w:rPr>
              <w:t xml:space="preserve"> </w:t>
            </w:r>
            <w:r w:rsidRPr="007676FF">
              <w:rPr>
                <w:sz w:val="21"/>
                <w:lang w:val="en-US"/>
              </w:rPr>
              <w:t xml:space="preserve">+ </w:t>
            </w:r>
            <w:r>
              <w:rPr>
                <w:sz w:val="21"/>
                <w:lang w:val="en-US"/>
              </w:rPr>
              <w:t>abdominal obesity</w:t>
            </w:r>
            <w:r w:rsidRPr="007676FF">
              <w:rPr>
                <w:sz w:val="21"/>
                <w:lang w:val="en-US"/>
              </w:rPr>
              <w:t>,</w:t>
            </w:r>
            <w:r w:rsidRPr="00FA1B4A">
              <w:rPr>
                <w:sz w:val="21"/>
                <w:vertAlign w:val="superscript"/>
                <w:lang w:val="en-US"/>
              </w:rPr>
              <w:t xml:space="preserve"> </w:t>
            </w:r>
            <w:r w:rsidRPr="007676FF">
              <w:rPr>
                <w:sz w:val="21"/>
                <w:lang w:val="en-US"/>
              </w:rPr>
              <w:t>HR (95% CI)</w:t>
            </w:r>
            <w:r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A2C6EE9" w14:textId="77777777" w:rsidR="001E3D12" w:rsidRPr="00053EF6" w:rsidRDefault="001E3D12" w:rsidP="00F34D10">
            <w:pPr>
              <w:rPr>
                <w:sz w:val="21"/>
                <w:highlight w:val="yellow"/>
                <w:lang w:val="en-US"/>
              </w:rPr>
            </w:pP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5A7C160" w14:textId="77777777" w:rsidR="001E3D12" w:rsidRPr="00A451F9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Ref.</w:t>
            </w:r>
          </w:p>
        </w:tc>
        <w:tc>
          <w:tcPr>
            <w:tcW w:w="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FB26CD2" w14:textId="77777777" w:rsidR="001E3D12" w:rsidRPr="00A451F9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B05922E" w14:textId="77777777" w:rsidR="001E3D12" w:rsidRPr="00A451F9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1.2 (0.7-2.0)</w:t>
            </w:r>
          </w:p>
        </w:tc>
        <w:tc>
          <w:tcPr>
            <w:tcW w:w="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FC592AD" w14:textId="77777777" w:rsidR="001E3D12" w:rsidRPr="00A451F9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998D7E2" w14:textId="77777777" w:rsidR="001E3D12" w:rsidRPr="00A451F9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1.7 (0.9-3.2)</w:t>
            </w:r>
          </w:p>
        </w:tc>
        <w:tc>
          <w:tcPr>
            <w:tcW w:w="1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79EB545" w14:textId="77777777" w:rsidR="001E3D12" w:rsidRPr="00A451F9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E9CEC70" w14:textId="77777777" w:rsidR="001E3D12" w:rsidRPr="00A451F9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0.058</w:t>
            </w:r>
          </w:p>
        </w:tc>
      </w:tr>
      <w:tr w:rsidR="002A3BBB" w:rsidRPr="002A3BBB" w14:paraId="09C92FDE" w14:textId="77777777" w:rsidTr="00966096">
        <w:trPr>
          <w:trHeight w:val="190"/>
          <w:jc w:val="center"/>
        </w:trPr>
        <w:tc>
          <w:tcPr>
            <w:tcW w:w="1133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F692EDE" w14:textId="77777777" w:rsidR="002A3BBB" w:rsidRPr="002A3BBB" w:rsidRDefault="002A3BBB" w:rsidP="002A3BBB">
            <w:pPr>
              <w:rPr>
                <w:sz w:val="20"/>
                <w:szCs w:val="22"/>
                <w:lang w:val="en-US"/>
              </w:rPr>
            </w:pPr>
            <w:r w:rsidRPr="002A3BBB">
              <w:rPr>
                <w:sz w:val="20"/>
                <w:szCs w:val="22"/>
                <w:vertAlign w:val="superscript"/>
                <w:lang w:val="en-US"/>
              </w:rPr>
              <w:t>1</w:t>
            </w:r>
            <w:r w:rsidRPr="002A3BBB">
              <w:rPr>
                <w:sz w:val="20"/>
                <w:szCs w:val="22"/>
                <w:lang w:val="en-US"/>
              </w:rPr>
              <w:t xml:space="preserve"> HWCS, Health Workers Cohort Study; IQR, interquartile range; HR, hazard risk; CI, confidence interval; BMI, body mass index.</w:t>
            </w:r>
          </w:p>
          <w:p w14:paraId="7137C3DA" w14:textId="77777777" w:rsidR="002A3BBB" w:rsidRPr="002A3BBB" w:rsidRDefault="002A3BBB" w:rsidP="002A3BBB">
            <w:pPr>
              <w:rPr>
                <w:sz w:val="20"/>
                <w:szCs w:val="22"/>
                <w:lang w:val="en-US"/>
              </w:rPr>
            </w:pPr>
            <w:r w:rsidRPr="002A3BBB">
              <w:rPr>
                <w:sz w:val="20"/>
                <w:szCs w:val="22"/>
                <w:vertAlign w:val="superscript"/>
                <w:lang w:val="en-US"/>
              </w:rPr>
              <w:t>2</w:t>
            </w:r>
            <w:r w:rsidRPr="002A3BBB">
              <w:rPr>
                <w:sz w:val="20"/>
                <w:szCs w:val="22"/>
                <w:lang w:val="en-US"/>
              </w:rPr>
              <w:t xml:space="preserve">A linear trend in the HR for each of the soft drinks categories was evaluated by including a continuous variable in the model representing the median values of each of soft drinks intake. </w:t>
            </w:r>
          </w:p>
          <w:p w14:paraId="03616DCC" w14:textId="77777777" w:rsidR="002A3BBB" w:rsidRPr="002A3BBB" w:rsidRDefault="002A3BBB" w:rsidP="002A3BBB">
            <w:pPr>
              <w:rPr>
                <w:sz w:val="20"/>
                <w:szCs w:val="22"/>
                <w:lang w:val="en-US"/>
              </w:rPr>
            </w:pPr>
            <w:r w:rsidRPr="002A3BBB">
              <w:rPr>
                <w:sz w:val="20"/>
                <w:szCs w:val="22"/>
                <w:vertAlign w:val="superscript"/>
                <w:lang w:val="en-US"/>
              </w:rPr>
              <w:t>3</w:t>
            </w:r>
            <w:r w:rsidRPr="002A3BBB">
              <w:rPr>
                <w:sz w:val="20"/>
                <w:szCs w:val="22"/>
                <w:lang w:val="en-US"/>
              </w:rPr>
              <w:t>Adjusted for baseline covariates: age, sex, total energy intake, physical activity, smoking status, family history of diabetes, and alcohol intake at baseline.</w:t>
            </w:r>
          </w:p>
          <w:p w14:paraId="0B3EF853" w14:textId="77777777" w:rsidR="002A3BBB" w:rsidRDefault="002A3BBB" w:rsidP="002A3BBB">
            <w:pPr>
              <w:rPr>
                <w:sz w:val="21"/>
                <w:lang w:val="en-US"/>
              </w:rPr>
            </w:pPr>
          </w:p>
        </w:tc>
      </w:tr>
    </w:tbl>
    <w:p w14:paraId="74D5349D" w14:textId="77777777" w:rsidR="001E3D12" w:rsidRDefault="001E3D12" w:rsidP="001E3D12">
      <w:pPr>
        <w:rPr>
          <w:sz w:val="20"/>
          <w:lang w:val="en-US"/>
        </w:rPr>
      </w:pPr>
    </w:p>
    <w:p w14:paraId="32505CA1" w14:textId="77777777" w:rsidR="001E3D12" w:rsidRPr="00746F8D" w:rsidRDefault="001E3D12" w:rsidP="001E3D12">
      <w:pPr>
        <w:rPr>
          <w:sz w:val="20"/>
          <w:lang w:val="en-US"/>
        </w:rPr>
        <w:sectPr w:rsidR="001E3D12" w:rsidRPr="00746F8D" w:rsidSect="00DB3121">
          <w:pgSz w:w="12240" w:h="15840"/>
          <w:pgMar w:top="1440" w:right="1440" w:bottom="1440" w:left="1440" w:header="709" w:footer="709" w:gutter="0"/>
          <w:cols w:space="720"/>
          <w:docGrid w:linePitch="326"/>
        </w:sectPr>
      </w:pPr>
    </w:p>
    <w:p w14:paraId="4FFE4E0D" w14:textId="77777777" w:rsidR="001E3D12" w:rsidRPr="00F33785" w:rsidRDefault="001E3D12" w:rsidP="001E3D12">
      <w:pPr>
        <w:widowControl w:val="0"/>
        <w:rPr>
          <w:rFonts w:ascii="Calibri" w:eastAsia="Calibri" w:hAnsi="Calibri" w:cs="Calibri"/>
          <w:color w:val="2A2A2A"/>
          <w:lang w:val="en-US"/>
        </w:rPr>
      </w:pPr>
    </w:p>
    <w:p w14:paraId="6A052016" w14:textId="77777777" w:rsidR="001E3D12" w:rsidRPr="00F33785" w:rsidRDefault="001E3D12" w:rsidP="001E3D12">
      <w:pPr>
        <w:widowControl w:val="0"/>
        <w:rPr>
          <w:rFonts w:ascii="Calibri" w:eastAsia="Calibri" w:hAnsi="Calibri" w:cs="Calibri"/>
          <w:b/>
          <w:bCs/>
          <w:color w:val="2A2A2A"/>
          <w:lang w:val="en-US"/>
        </w:rPr>
      </w:pP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2180"/>
        <w:gridCol w:w="2280"/>
        <w:gridCol w:w="900"/>
        <w:gridCol w:w="190"/>
      </w:tblGrid>
      <w:tr w:rsidR="001E3D12" w:rsidRPr="00CB5905" w14:paraId="40BD598B" w14:textId="77777777" w:rsidTr="00F34D10">
        <w:trPr>
          <w:trHeight w:val="600"/>
          <w:jc w:val="center"/>
        </w:trPr>
        <w:tc>
          <w:tcPr>
            <w:tcW w:w="90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ACE440" w14:textId="06D6D4CB" w:rsidR="001E3D12" w:rsidRPr="00CB5905" w:rsidRDefault="00965DE0" w:rsidP="00F34D1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b/>
                <w:bCs/>
                <w:sz w:val="21"/>
                <w:lang w:val="en-US"/>
              </w:rPr>
              <w:t xml:space="preserve">Supplemental Table </w:t>
            </w:r>
            <w:r w:rsidR="0032525D" w:rsidRPr="00CB5905">
              <w:rPr>
                <w:b/>
                <w:bCs/>
                <w:sz w:val="21"/>
                <w:lang w:val="en-US"/>
              </w:rPr>
              <w:t>2.</w:t>
            </w:r>
            <w:r w:rsidRPr="00CB5905">
              <w:rPr>
                <w:b/>
                <w:bCs/>
                <w:sz w:val="21"/>
                <w:lang w:val="en-US"/>
              </w:rPr>
              <w:t xml:space="preserve"> </w:t>
            </w:r>
            <w:r w:rsidR="001E3D12" w:rsidRPr="00CB5905">
              <w:rPr>
                <w:color w:val="000000"/>
                <w:sz w:val="20"/>
                <w:szCs w:val="20"/>
                <w:lang w:val="en-US"/>
              </w:rPr>
              <w:t>Baseline characteristics of the participants from the case complete</w:t>
            </w:r>
            <w:r w:rsidR="001E3D12" w:rsidRPr="00CB59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1E3D12" w:rsidRPr="00CB5905">
              <w:rPr>
                <w:color w:val="000000"/>
                <w:sz w:val="20"/>
                <w:szCs w:val="20"/>
                <w:lang w:val="en-US"/>
              </w:rPr>
              <w:t>analysis as compared with those who lost to follow-up either in any of the follow-up waves of the cohort</w:t>
            </w:r>
            <w:r w:rsidR="00A9621E" w:rsidRPr="00CB5905">
              <w:rPr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1E3D12" w:rsidRPr="00CB5905" w14:paraId="098BA34A" w14:textId="77777777" w:rsidTr="00F34D10">
        <w:trPr>
          <w:trHeight w:val="600"/>
          <w:jc w:val="center"/>
        </w:trPr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11B9" w14:textId="77777777" w:rsidR="001E3D12" w:rsidRPr="00CB5905" w:rsidRDefault="001E3D12" w:rsidP="00F34D1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1B314" w14:textId="77777777" w:rsidR="001E3D12" w:rsidRPr="00CB5905" w:rsidRDefault="001E3D12" w:rsidP="00F34D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b/>
                <w:bCs/>
                <w:color w:val="000000"/>
                <w:sz w:val="20"/>
                <w:szCs w:val="20"/>
                <w:lang w:val="en-US"/>
              </w:rPr>
              <w:t>Baseline (people with complete data for 3waves)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1469" w14:textId="77777777" w:rsidR="001E3D12" w:rsidRPr="00CB5905" w:rsidRDefault="001E3D12" w:rsidP="00F34D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E3D12" w:rsidRPr="00CB5905" w14:paraId="7329AE62" w14:textId="77777777" w:rsidTr="00F34D10">
        <w:trPr>
          <w:trHeight w:val="560"/>
          <w:jc w:val="center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408A1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BE28B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Complete follow-up      n=600 (38%)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D81BB" w14:textId="77777777" w:rsidR="002A3BBB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Lost to follow-up </w:t>
            </w:r>
          </w:p>
          <w:p w14:paraId="5EBEC5C9" w14:textId="1CC27D4C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n=984 (62%)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6A14F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461E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E3D12" w:rsidRPr="00CB5905" w14:paraId="7DDAE5DF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3DC5D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Women, 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B1E2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76.3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D344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74.9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98F7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D96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E3D12" w:rsidRPr="00CB5905" w14:paraId="526E4727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88CF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D26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46 (38-55)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D61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42 (33-51)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1C29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rFonts w:eastAsia="Calibri"/>
                <w:color w:val="000000"/>
                <w:sz w:val="20"/>
                <w:szCs w:val="20"/>
                <w:lang w:val="en-US" w:eastAsia="es-ES_tradnl"/>
              </w:rPr>
              <w:t>&lt;0.001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1407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7A5B5754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C919C" w14:textId="14D4F768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Weight</w:t>
            </w:r>
            <w:r w:rsidR="00CB59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B5905">
              <w:rPr>
                <w:color w:val="000000"/>
                <w:sz w:val="20"/>
                <w:szCs w:val="20"/>
                <w:lang w:val="en-US"/>
              </w:rPr>
              <w:t>(kg)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03D5" w14:textId="13711A8A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64.1</w:t>
            </w:r>
            <w:r w:rsidR="00CB59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B5905">
              <w:rPr>
                <w:color w:val="000000"/>
                <w:sz w:val="20"/>
                <w:szCs w:val="20"/>
                <w:lang w:val="en-US"/>
              </w:rPr>
              <w:t>(57-73.2)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ED73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64.6 (57.4-73)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445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0.699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FB2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38C3A8E2" w14:textId="77777777" w:rsidTr="00F34D10">
        <w:trPr>
          <w:trHeight w:val="32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1F4A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Body mass index (kg/m</w:t>
            </w:r>
            <w:r w:rsidRPr="00CB5905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CB5905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1168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25.8 (23.3-28.8)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8D1D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25.6 (23.5-28.4)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C33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0.556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4959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10B46037" w14:textId="77777777" w:rsidTr="00F34D10">
        <w:trPr>
          <w:trHeight w:val="32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2BFDE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Body mass index categories, 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725A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C435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F31B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2216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28578CF6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BD6A0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Normal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9E40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41.1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ED45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38D2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0.545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870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7A659854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7EFA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Overweight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CD9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41.1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9402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CE3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AA57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65D84CB7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CEB8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Obesity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A97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337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6F15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0.449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6B1F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7B1D34F3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3FB1F" w14:textId="7513D4BB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Waist circumference</w:t>
            </w:r>
            <w:r w:rsidR="00CB59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B5905">
              <w:rPr>
                <w:color w:val="000000"/>
                <w:sz w:val="20"/>
                <w:szCs w:val="20"/>
                <w:lang w:val="en-US"/>
              </w:rPr>
              <w:t>(cm)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AAA7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90 (83-99)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B311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88 (80-96)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6A52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rFonts w:eastAsia="Calibri"/>
                <w:color w:val="000000"/>
                <w:sz w:val="20"/>
                <w:szCs w:val="20"/>
                <w:lang w:val="en-US" w:eastAsia="es-ES_tradnl"/>
              </w:rPr>
              <w:t>&lt;0.001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88C7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44377D7E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53575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Abdominal obesity, 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81A0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78.0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B2D7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A22B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3112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7CFD09F6" w14:textId="77777777" w:rsidTr="00F34D10">
        <w:trPr>
          <w:trHeight w:val="56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631A7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Leisure-time physical activity (hrs. per week)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634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1.7 (0.38-4.63)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E1E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1.5 (0.38-4.25)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1E07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FF3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55FBA00B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416A9" w14:textId="65DCB164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Active (≥ 150 min/week),</w:t>
            </w:r>
            <w:r w:rsidR="00CB5905" w:rsidRPr="00CB59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B5905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147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6E4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2836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23A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0E924703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AFF2" w14:textId="5E8E481B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Family history of diabetes,</w:t>
            </w:r>
            <w:r w:rsidR="00CB5905" w:rsidRPr="00CB59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B5905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A9C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F865" w14:textId="77777777" w:rsidR="001E3D12" w:rsidRPr="00CB5905" w:rsidRDefault="001E3D12" w:rsidP="00F34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660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6BE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28457A7F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AE55B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E6D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D88B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2A62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0.224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BBEF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7312E997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9163C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Yes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A2D6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52.7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792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53.6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2EFC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0.722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64F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74D4E987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83E57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Unknown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C71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06EA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0D03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E2F0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70567CE4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FCB44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Fasting glucose  (mg/dL)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6D9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89 (82-95)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FD3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89 (82-96)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85F3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7C04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7C53105D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2360E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Hypertension, 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A16A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15.5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0952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4FE7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0.529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4D6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452F4AAC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7ABE9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Smoking, 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151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18B2" w14:textId="77777777" w:rsidR="001E3D12" w:rsidRPr="00CB5905" w:rsidRDefault="001E3D12" w:rsidP="00F34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716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B08F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6722C20B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7177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Never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B8ED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57.3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15A4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52.5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2199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F70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0DC76A46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B0F57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Former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534B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A85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36F9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0.858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D34F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20605B57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BA79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Current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2E5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14.7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13FD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E9D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AE5F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1E3E9BCD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CD081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 xml:space="preserve">      Missing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ABAC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B1E9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BFA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0.873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01B0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1A42BC08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BB94C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Alcohol intake categories, 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90CC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A312" w14:textId="77777777" w:rsidR="001E3D12" w:rsidRPr="00CB5905" w:rsidRDefault="001E3D12" w:rsidP="00F34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D5E3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31F7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62A9347D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43695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rFonts w:eastAsia="Calibri"/>
                <w:color w:val="000000"/>
                <w:sz w:val="20"/>
                <w:szCs w:val="20"/>
                <w:lang w:val="en-US" w:eastAsia="es-ES_tradnl"/>
              </w:rPr>
              <w:t xml:space="preserve">   Tertile 1 (&lt;0.6 g/day)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408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33.3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FB2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52DF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0.457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FB60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693ECB05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9C78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rFonts w:eastAsia="Calibri"/>
                <w:color w:val="000000"/>
                <w:sz w:val="20"/>
                <w:szCs w:val="20"/>
                <w:lang w:val="en-US" w:eastAsia="es-ES_tradnl"/>
              </w:rPr>
              <w:t xml:space="preserve">   Tertile 2 (0.6-2.4 g/day)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123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8BB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D927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0.157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386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1B148854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F7BE0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rFonts w:eastAsia="Calibri"/>
                <w:color w:val="000000"/>
                <w:sz w:val="20"/>
                <w:szCs w:val="20"/>
                <w:lang w:val="en-US" w:eastAsia="es-ES_tradnl"/>
              </w:rPr>
              <w:t xml:space="preserve">   Tertile 3 (&gt;2.4 g/day)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F9EB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35.7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964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7642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8F3B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6171F978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EB356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Total energy intake (kcal/day)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C9F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1945.9 (1545-2584.4)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555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2030.3 (1536.4-2575.2)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937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0.543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5B6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3D12" w:rsidRPr="00CB5905" w14:paraId="5B2FC911" w14:textId="77777777" w:rsidTr="00F34D10">
        <w:trPr>
          <w:trHeight w:val="280"/>
          <w:jc w:val="center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C4CD4" w14:textId="77777777" w:rsidR="001E3D12" w:rsidRPr="00CB5905" w:rsidRDefault="001E3D12" w:rsidP="00F34D10">
            <w:pPr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Soft drinks (servings/week)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C51DB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1.5 (0.7-4.0)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2DAD" w14:textId="77777777" w:rsidR="001E3D12" w:rsidRPr="00CB5905" w:rsidRDefault="001E3D12" w:rsidP="00F34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B5905">
              <w:rPr>
                <w:color w:val="000000"/>
                <w:sz w:val="20"/>
                <w:szCs w:val="20"/>
                <w:lang w:val="en-US"/>
              </w:rPr>
              <w:t>1.5 (0.6-4.0)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2E14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5905">
              <w:rPr>
                <w:color w:val="000000" w:themeColor="text1"/>
                <w:sz w:val="20"/>
                <w:szCs w:val="20"/>
                <w:lang w:val="en-US"/>
              </w:rPr>
              <w:t>0.360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BC7" w14:textId="77777777" w:rsidR="001E3D12" w:rsidRPr="00CB5905" w:rsidRDefault="001E3D12" w:rsidP="00F34D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34180F8" w14:textId="5E73C298" w:rsidR="001E3D12" w:rsidRDefault="001E3D12" w:rsidP="001E3D12">
      <w:pPr>
        <w:widowControl w:val="0"/>
        <w:ind w:left="66"/>
        <w:rPr>
          <w:rFonts w:ascii="Calibri" w:eastAsia="Calibri" w:hAnsi="Calibri" w:cs="Calibri"/>
          <w:color w:val="2A2A2A"/>
          <w:lang w:val="en-US"/>
        </w:rPr>
      </w:pPr>
      <w:r>
        <w:rPr>
          <w:rFonts w:eastAsia="Calibri"/>
          <w:color w:val="000000"/>
          <w:sz w:val="20"/>
          <w:szCs w:val="20"/>
          <w:lang w:val="en-US" w:eastAsia="es-ES_tradnl"/>
        </w:rPr>
        <w:t xml:space="preserve"> </w:t>
      </w:r>
      <w:r w:rsidR="00A9621E" w:rsidRPr="00A9621E">
        <w:rPr>
          <w:rFonts w:eastAsia="Calibri"/>
          <w:color w:val="000000"/>
          <w:sz w:val="20"/>
          <w:szCs w:val="20"/>
          <w:vertAlign w:val="superscript"/>
          <w:lang w:val="en-US" w:eastAsia="es-ES_tradnl"/>
        </w:rPr>
        <w:t>1</w:t>
      </w:r>
      <w:r>
        <w:rPr>
          <w:rFonts w:eastAsia="Calibri"/>
          <w:color w:val="000000"/>
          <w:sz w:val="20"/>
          <w:szCs w:val="20"/>
          <w:lang w:val="en-US" w:eastAsia="es-ES_tradnl"/>
        </w:rPr>
        <w:t xml:space="preserve"> Values are median and interquartile range, unless otherwise indicated.</w:t>
      </w:r>
    </w:p>
    <w:p w14:paraId="12FD843C" w14:textId="77777777" w:rsidR="001E3D12" w:rsidRPr="00261BAA" w:rsidRDefault="001E3D12" w:rsidP="001E3D12">
      <w:pPr>
        <w:widowControl w:val="0"/>
        <w:ind w:left="66"/>
        <w:rPr>
          <w:rFonts w:ascii="Calibri" w:eastAsia="Calibri" w:hAnsi="Calibri" w:cs="Calibri"/>
          <w:b/>
          <w:bCs/>
          <w:color w:val="2A2A2A"/>
          <w:lang w:val="en-US"/>
        </w:rPr>
      </w:pPr>
    </w:p>
    <w:p w14:paraId="22C6B8FB" w14:textId="77777777" w:rsidR="001E3D12" w:rsidRPr="00261BAA" w:rsidRDefault="001E3D12" w:rsidP="001E3D12">
      <w:pPr>
        <w:widowControl w:val="0"/>
        <w:ind w:left="66"/>
        <w:rPr>
          <w:rFonts w:ascii="Calibri" w:eastAsia="Calibri" w:hAnsi="Calibri" w:cs="Calibri"/>
          <w:b/>
          <w:bCs/>
          <w:color w:val="2A2A2A"/>
          <w:lang w:val="en-US"/>
        </w:rPr>
      </w:pPr>
    </w:p>
    <w:p w14:paraId="3CB33E17" w14:textId="77777777" w:rsidR="001E3D12" w:rsidRDefault="001E3D12" w:rsidP="001E3D12">
      <w:pPr>
        <w:widowControl w:val="0"/>
        <w:ind w:left="66"/>
        <w:rPr>
          <w:rFonts w:ascii="Calibri" w:eastAsia="Calibri" w:hAnsi="Calibri" w:cs="Calibri"/>
          <w:b/>
          <w:bCs/>
          <w:color w:val="2A2A2A"/>
          <w:lang w:val="en-US"/>
        </w:rPr>
        <w:sectPr w:rsidR="001E3D12" w:rsidSect="00DB3121">
          <w:pgSz w:w="12240" w:h="15840"/>
          <w:pgMar w:top="1440" w:right="1440" w:bottom="1440" w:left="1440" w:header="709" w:footer="709" w:gutter="0"/>
          <w:cols w:space="720"/>
          <w:docGrid w:linePitch="326"/>
        </w:sectPr>
      </w:pPr>
    </w:p>
    <w:p w14:paraId="4361C814" w14:textId="77777777" w:rsidR="001E3D12" w:rsidRPr="00261BAA" w:rsidRDefault="001E3D12" w:rsidP="001E3D12">
      <w:pPr>
        <w:widowControl w:val="0"/>
        <w:rPr>
          <w:rFonts w:ascii="Calibri" w:eastAsia="Calibri" w:hAnsi="Calibri" w:cs="Calibri"/>
          <w:b/>
          <w:bCs/>
          <w:color w:val="2A2A2A"/>
          <w:lang w:val="en-US"/>
        </w:rPr>
      </w:pPr>
    </w:p>
    <w:p w14:paraId="19458B4C" w14:textId="77777777" w:rsidR="001E3D12" w:rsidRPr="00261BAA" w:rsidRDefault="001E3D12" w:rsidP="001E3D12">
      <w:pPr>
        <w:widowControl w:val="0"/>
        <w:ind w:left="66"/>
        <w:rPr>
          <w:rFonts w:ascii="Calibri" w:eastAsia="Calibri" w:hAnsi="Calibri" w:cs="Calibri"/>
          <w:b/>
          <w:bCs/>
          <w:color w:val="2A2A2A"/>
          <w:lang w:val="en-US"/>
        </w:rPr>
      </w:pPr>
    </w:p>
    <w:tbl>
      <w:tblPr>
        <w:tblW w:w="1106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9"/>
        <w:gridCol w:w="233"/>
        <w:gridCol w:w="1433"/>
        <w:gridCol w:w="156"/>
        <w:gridCol w:w="1683"/>
        <w:gridCol w:w="156"/>
        <w:gridCol w:w="1562"/>
        <w:gridCol w:w="95"/>
        <w:gridCol w:w="939"/>
      </w:tblGrid>
      <w:tr w:rsidR="001E3D12" w:rsidRPr="00CB5905" w14:paraId="6D451B33" w14:textId="77777777" w:rsidTr="00F34D10">
        <w:trPr>
          <w:trHeight w:val="585"/>
          <w:jc w:val="center"/>
        </w:trPr>
        <w:tc>
          <w:tcPr>
            <w:tcW w:w="1106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BFDA8E5" w14:textId="2ABD82D1" w:rsidR="001E3D12" w:rsidRPr="00FF1874" w:rsidRDefault="00965DE0" w:rsidP="00F34D10">
            <w:pPr>
              <w:rPr>
                <w:sz w:val="20"/>
                <w:szCs w:val="22"/>
                <w:lang w:val="en-US"/>
              </w:rPr>
            </w:pPr>
            <w:r>
              <w:rPr>
                <w:b/>
                <w:bCs/>
                <w:sz w:val="21"/>
                <w:lang w:val="en-US"/>
              </w:rPr>
              <w:t>Supplemental Table 3.</w:t>
            </w:r>
            <w:r w:rsidRPr="001A44B2">
              <w:rPr>
                <w:b/>
                <w:bCs/>
                <w:sz w:val="21"/>
                <w:lang w:val="en-US"/>
              </w:rPr>
              <w:t xml:space="preserve"> </w:t>
            </w:r>
            <w:r w:rsidR="001E3D12" w:rsidRPr="00FA63D7">
              <w:rPr>
                <w:sz w:val="20"/>
                <w:szCs w:val="22"/>
                <w:lang w:val="en-US"/>
              </w:rPr>
              <w:t>Risk of Type 2 Diabetes by soft drinks consumption at baseline (2004-2007) in participants from</w:t>
            </w:r>
            <w:r w:rsidR="001E3D12" w:rsidRPr="00FF1874">
              <w:rPr>
                <w:b/>
                <w:bCs/>
                <w:sz w:val="20"/>
                <w:szCs w:val="22"/>
                <w:lang w:val="en-US"/>
              </w:rPr>
              <w:t xml:space="preserve"> </w:t>
            </w:r>
            <w:r w:rsidR="001E3D12" w:rsidRPr="00FA63D7">
              <w:rPr>
                <w:sz w:val="20"/>
                <w:szCs w:val="22"/>
                <w:lang w:val="en-US"/>
              </w:rPr>
              <w:t>HWCS</w:t>
            </w:r>
            <w:r w:rsidR="00A9621E" w:rsidRPr="00FA63D7">
              <w:rPr>
                <w:sz w:val="20"/>
                <w:szCs w:val="22"/>
                <w:vertAlign w:val="superscript"/>
                <w:lang w:val="en-US"/>
              </w:rPr>
              <w:t>1</w:t>
            </w:r>
            <w:r w:rsidR="001E3D12" w:rsidRPr="00FA63D7">
              <w:rPr>
                <w:sz w:val="20"/>
                <w:szCs w:val="22"/>
                <w:lang w:val="en-US"/>
              </w:rPr>
              <w:t xml:space="preserve"> who complied with the entire follow-ups at wave-2 (2010-2013) and wave-3 (2016-2018) (n=600)</w:t>
            </w:r>
          </w:p>
        </w:tc>
      </w:tr>
      <w:tr w:rsidR="001E3D12" w:rsidRPr="001A44B2" w14:paraId="168FA90B" w14:textId="77777777" w:rsidTr="00F34D10">
        <w:trPr>
          <w:trHeight w:val="219"/>
          <w:jc w:val="center"/>
        </w:trPr>
        <w:tc>
          <w:tcPr>
            <w:tcW w:w="4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F3174B5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756FCEC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602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F31DA46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Consumption level</w:t>
            </w:r>
          </w:p>
        </w:tc>
      </w:tr>
      <w:tr w:rsidR="001E3D12" w:rsidRPr="001A44B2" w14:paraId="1DD28D3F" w14:textId="77777777" w:rsidTr="00F34D10">
        <w:trPr>
          <w:trHeight w:val="234"/>
          <w:jc w:val="center"/>
        </w:trPr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054B6E8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CF9A6B0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07CA7EC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&lt; 1/week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942D77D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4518636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1-4 /week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696C17A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0892277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u w:val="single"/>
                <w:lang w:val="en-US"/>
              </w:rPr>
              <w:t>&gt;</w:t>
            </w:r>
            <w:r w:rsidRPr="001A44B2">
              <w:rPr>
                <w:sz w:val="21"/>
                <w:lang w:val="en-US"/>
              </w:rPr>
              <w:t>5/week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7FBEB1A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676FCF2" w14:textId="24140645" w:rsidR="001E3D12" w:rsidRPr="00A9621E" w:rsidRDefault="001E3D12" w:rsidP="00F34D10">
            <w:pPr>
              <w:jc w:val="center"/>
              <w:rPr>
                <w:sz w:val="21"/>
                <w:vertAlign w:val="superscript"/>
                <w:lang w:val="en-US"/>
              </w:rPr>
            </w:pPr>
            <w:r>
              <w:rPr>
                <w:i/>
                <w:iCs/>
                <w:sz w:val="21"/>
                <w:lang w:val="en-US"/>
              </w:rPr>
              <w:t xml:space="preserve">p </w:t>
            </w:r>
            <w:r w:rsidRPr="00746F8D">
              <w:rPr>
                <w:iCs/>
                <w:sz w:val="21"/>
                <w:vertAlign w:val="subscript"/>
                <w:lang w:val="en-US"/>
              </w:rPr>
              <w:t>trend</w:t>
            </w:r>
            <w:r w:rsidR="00A9621E">
              <w:rPr>
                <w:iCs/>
                <w:sz w:val="21"/>
                <w:vertAlign w:val="superscript"/>
                <w:lang w:val="en-US"/>
              </w:rPr>
              <w:t>1</w:t>
            </w:r>
          </w:p>
        </w:tc>
      </w:tr>
      <w:tr w:rsidR="001E3D12" w:rsidRPr="001A44B2" w14:paraId="4F68F315" w14:textId="77777777" w:rsidTr="00F34D10">
        <w:trPr>
          <w:trHeight w:val="234"/>
          <w:jc w:val="center"/>
        </w:trPr>
        <w:tc>
          <w:tcPr>
            <w:tcW w:w="48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18163FF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Median</w:t>
            </w:r>
            <w:r>
              <w:rPr>
                <w:sz w:val="21"/>
                <w:lang w:val="en-US"/>
              </w:rPr>
              <w:t xml:space="preserve"> (IQR), servings per week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BE5EF03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F0F1F37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0</w:t>
            </w:r>
            <w:r>
              <w:rPr>
                <w:sz w:val="21"/>
                <w:lang w:val="en-US"/>
              </w:rPr>
              <w:t>.2 (0.1-0.2)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22D7054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43AF6D7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1.5 (1.1-3.1)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51C9C6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5A7FBE6" w14:textId="492412CB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7.1</w:t>
            </w:r>
            <w:r w:rsidR="00CB5905">
              <w:rPr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(6.0-8.6)</w:t>
            </w:r>
          </w:p>
        </w:tc>
        <w:tc>
          <w:tcPr>
            <w:tcW w:w="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877650C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76C439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261BAA">
              <w:rPr>
                <w:rFonts w:eastAsia="Calibri"/>
                <w:color w:val="000000"/>
                <w:sz w:val="20"/>
                <w:szCs w:val="20"/>
                <w:lang w:val="en-US" w:eastAsia="es-ES_tradnl"/>
              </w:rPr>
              <w:t>&lt;0.001</w:t>
            </w:r>
          </w:p>
        </w:tc>
      </w:tr>
      <w:tr w:rsidR="001E3D12" w:rsidRPr="001A44B2" w14:paraId="735750A8" w14:textId="77777777" w:rsidTr="00F34D10">
        <w:trPr>
          <w:trHeight w:val="234"/>
          <w:jc w:val="center"/>
        </w:trPr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8424B91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259B278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62099A8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139</w:t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BB3A9CE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68633B5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313</w:t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57A6180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2FB2E90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148</w:t>
            </w:r>
          </w:p>
        </w:tc>
        <w:tc>
          <w:tcPr>
            <w:tcW w:w="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9361397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A9A7A6B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</w:tr>
      <w:tr w:rsidR="001E3D12" w:rsidRPr="001A44B2" w14:paraId="59004BB6" w14:textId="77777777" w:rsidTr="00F34D10">
        <w:trPr>
          <w:trHeight w:val="219"/>
          <w:jc w:val="center"/>
        </w:trPr>
        <w:tc>
          <w:tcPr>
            <w:tcW w:w="480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7BE2B8C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Cases of type 2 d</w:t>
            </w:r>
            <w:r w:rsidRPr="001A44B2">
              <w:rPr>
                <w:sz w:val="21"/>
                <w:lang w:val="en-US"/>
              </w:rPr>
              <w:t>iabetes (n=1</w:t>
            </w:r>
            <w:r>
              <w:rPr>
                <w:sz w:val="21"/>
                <w:lang w:val="en-US"/>
              </w:rPr>
              <w:t>08</w:t>
            </w:r>
            <w:r w:rsidRPr="001A44B2">
              <w:rPr>
                <w:sz w:val="21"/>
                <w:lang w:val="en-US"/>
              </w:rPr>
              <w:t>)</w:t>
            </w:r>
          </w:p>
        </w:tc>
        <w:tc>
          <w:tcPr>
            <w:tcW w:w="2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5999710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0452EBD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16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91EA7AD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8139FB2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56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3E23DAB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9647FF7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36</w:t>
            </w:r>
          </w:p>
        </w:tc>
        <w:tc>
          <w:tcPr>
            <w:tcW w:w="9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F8E256F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B3EF316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</w:tr>
      <w:tr w:rsidR="001E3D12" w:rsidRPr="001A44B2" w14:paraId="2F7829A2" w14:textId="77777777" w:rsidTr="00F34D10">
        <w:trPr>
          <w:trHeight w:val="234"/>
          <w:jc w:val="center"/>
        </w:trPr>
        <w:tc>
          <w:tcPr>
            <w:tcW w:w="480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B657236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Person-years</w:t>
            </w:r>
          </w:p>
        </w:tc>
        <w:tc>
          <w:tcPr>
            <w:tcW w:w="2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DDB6D70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6024A36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1687.2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0E5E272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E2CE750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3718.0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BB2AEDE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0EB78F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1676.4</w:t>
            </w:r>
          </w:p>
        </w:tc>
        <w:tc>
          <w:tcPr>
            <w:tcW w:w="9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48B8234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70ED7C4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</w:tr>
      <w:tr w:rsidR="001E3D12" w:rsidRPr="001A44B2" w14:paraId="24C56AE0" w14:textId="77777777" w:rsidTr="00F34D10">
        <w:trPr>
          <w:trHeight w:val="219"/>
          <w:jc w:val="center"/>
        </w:trPr>
        <w:tc>
          <w:tcPr>
            <w:tcW w:w="480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FE204DE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Incidence rate (per 1</w:t>
            </w:r>
            <w:r>
              <w:rPr>
                <w:sz w:val="21"/>
                <w:lang w:val="en-US"/>
              </w:rPr>
              <w:t>,</w:t>
            </w:r>
            <w:r w:rsidRPr="001A44B2">
              <w:rPr>
                <w:sz w:val="21"/>
                <w:lang w:val="en-US"/>
              </w:rPr>
              <w:t>000)</w:t>
            </w:r>
          </w:p>
        </w:tc>
        <w:tc>
          <w:tcPr>
            <w:tcW w:w="2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CE18A66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387250D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9.5 (5.8-15.5)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32A52DD4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5DBEA26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15.1 (11.6.19.6)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0B255E5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349624D5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21.5 (15.5-29.8)</w:t>
            </w:r>
          </w:p>
        </w:tc>
        <w:tc>
          <w:tcPr>
            <w:tcW w:w="9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F0FD5C5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D88D0F8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</w:tr>
      <w:tr w:rsidR="001E3D12" w:rsidRPr="001A44B2" w14:paraId="0A7C907C" w14:textId="77777777" w:rsidTr="00F34D10">
        <w:trPr>
          <w:trHeight w:val="219"/>
          <w:jc w:val="center"/>
        </w:trPr>
        <w:tc>
          <w:tcPr>
            <w:tcW w:w="480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A1D05E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Model 1 - </w:t>
            </w:r>
            <w:r w:rsidRPr="001A44B2">
              <w:rPr>
                <w:sz w:val="21"/>
                <w:lang w:val="en-US"/>
              </w:rPr>
              <w:t>Age</w:t>
            </w:r>
            <w:r>
              <w:rPr>
                <w:sz w:val="21"/>
                <w:lang w:val="en-US"/>
              </w:rPr>
              <w:t>-</w:t>
            </w:r>
            <w:r w:rsidRPr="001A44B2">
              <w:rPr>
                <w:sz w:val="21"/>
                <w:lang w:val="en-US"/>
              </w:rPr>
              <w:t>adjusted, HR (95% CI)</w:t>
            </w:r>
          </w:p>
        </w:tc>
        <w:tc>
          <w:tcPr>
            <w:tcW w:w="2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EC37A72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C3D2826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Ref</w:t>
            </w:r>
            <w:r>
              <w:rPr>
                <w:sz w:val="21"/>
                <w:lang w:val="en-US"/>
              </w:rPr>
              <w:t>.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13A379C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174349D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1.7 (1.0-3.1)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21335D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604510A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2.9 (1.6-5.3)</w:t>
            </w:r>
          </w:p>
        </w:tc>
        <w:tc>
          <w:tcPr>
            <w:tcW w:w="9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EA5DCB9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3C119B38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261BAA">
              <w:rPr>
                <w:rFonts w:eastAsia="Calibri"/>
                <w:color w:val="000000"/>
                <w:sz w:val="20"/>
                <w:szCs w:val="20"/>
                <w:lang w:val="en-US" w:eastAsia="es-ES_tradnl"/>
              </w:rPr>
              <w:t>&lt;0.001</w:t>
            </w:r>
          </w:p>
        </w:tc>
      </w:tr>
      <w:tr w:rsidR="001E3D12" w:rsidRPr="001A44B2" w14:paraId="55DE5F4A" w14:textId="77777777" w:rsidTr="00F34D10">
        <w:trPr>
          <w:trHeight w:val="234"/>
          <w:jc w:val="center"/>
        </w:trPr>
        <w:tc>
          <w:tcPr>
            <w:tcW w:w="480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F900E" w14:textId="5463EB46" w:rsidR="001E3D12" w:rsidRPr="001A44B2" w:rsidRDefault="001E3D12" w:rsidP="00F34D10">
            <w:pPr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Model 2 - </w:t>
            </w:r>
            <w:r w:rsidRPr="001A44B2">
              <w:rPr>
                <w:sz w:val="21"/>
                <w:lang w:val="en-US"/>
              </w:rPr>
              <w:t>Multivariate-adjusted</w:t>
            </w:r>
            <w:r w:rsidR="00A9621E" w:rsidRPr="00A9621E">
              <w:rPr>
                <w:sz w:val="21"/>
                <w:vertAlign w:val="superscript"/>
                <w:lang w:val="en-US"/>
              </w:rPr>
              <w:t>3</w:t>
            </w:r>
            <w:r w:rsidRPr="001A44B2">
              <w:rPr>
                <w:sz w:val="21"/>
                <w:lang w:val="en-US"/>
              </w:rPr>
              <w:t>, HR (95% CI)</w:t>
            </w:r>
          </w:p>
        </w:tc>
        <w:tc>
          <w:tcPr>
            <w:tcW w:w="2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B064CF7" w14:textId="77777777" w:rsidR="001E3D12" w:rsidRPr="001A44B2" w:rsidRDefault="001E3D12" w:rsidP="00F34D10">
            <w:pPr>
              <w:rPr>
                <w:sz w:val="21"/>
                <w:lang w:val="en-US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BC37E70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 w:rsidRPr="001A44B2">
              <w:rPr>
                <w:sz w:val="21"/>
                <w:lang w:val="en-US"/>
              </w:rPr>
              <w:t>Ref</w:t>
            </w:r>
            <w:r>
              <w:rPr>
                <w:sz w:val="21"/>
                <w:lang w:val="en-US"/>
              </w:rPr>
              <w:t>.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5D67F4F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0DEAD79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1.7 (1.0-3.1)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9B1E880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93165C5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2.6 (1.4-4.9)</w:t>
            </w:r>
          </w:p>
        </w:tc>
        <w:tc>
          <w:tcPr>
            <w:tcW w:w="9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71A064B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C7028E9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0.005</w:t>
            </w:r>
          </w:p>
        </w:tc>
      </w:tr>
      <w:tr w:rsidR="001E3D12" w:rsidRPr="000628F0" w14:paraId="0F776265" w14:textId="77777777" w:rsidTr="00A9621E">
        <w:trPr>
          <w:trHeight w:val="234"/>
          <w:jc w:val="center"/>
        </w:trPr>
        <w:tc>
          <w:tcPr>
            <w:tcW w:w="480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EFA8242" w14:textId="4734724E" w:rsidR="001E3D12" w:rsidRPr="00410C27" w:rsidRDefault="001E3D12" w:rsidP="00F34D10">
            <w:pPr>
              <w:rPr>
                <w:sz w:val="21"/>
              </w:rPr>
            </w:pPr>
            <w:r w:rsidRPr="00410C27">
              <w:rPr>
                <w:sz w:val="21"/>
              </w:rPr>
              <w:t>Model 3 – Model 2</w:t>
            </w:r>
            <w:r w:rsidR="00A9621E" w:rsidRPr="00A9621E">
              <w:rPr>
                <w:sz w:val="21"/>
                <w:vertAlign w:val="superscript"/>
              </w:rPr>
              <w:t>3</w:t>
            </w:r>
            <w:r w:rsidRPr="00410C27">
              <w:rPr>
                <w:sz w:val="21"/>
              </w:rPr>
              <w:t xml:space="preserve"> + BMI, HR (95% CI)</w:t>
            </w:r>
          </w:p>
        </w:tc>
        <w:tc>
          <w:tcPr>
            <w:tcW w:w="2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B63F8C9" w14:textId="77777777" w:rsidR="001E3D12" w:rsidRPr="00410C27" w:rsidRDefault="001E3D12" w:rsidP="00F34D1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54C3CEB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Ref.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8C9CDA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0E24D31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1.4 (0.8-2.4)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4B81103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3471937B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1.9 (1.0-3.5)</w:t>
            </w:r>
          </w:p>
        </w:tc>
        <w:tc>
          <w:tcPr>
            <w:tcW w:w="95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433A509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C4F0B75" w14:textId="77777777" w:rsidR="001E3D12" w:rsidRPr="001A44B2" w:rsidRDefault="001E3D12" w:rsidP="00F34D10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0.067</w:t>
            </w:r>
          </w:p>
        </w:tc>
      </w:tr>
      <w:tr w:rsidR="001E3D12" w:rsidRPr="000628F0" w14:paraId="6D9A4DFF" w14:textId="77777777" w:rsidTr="00A9621E">
        <w:trPr>
          <w:trHeight w:val="234"/>
          <w:jc w:val="center"/>
        </w:trPr>
        <w:tc>
          <w:tcPr>
            <w:tcW w:w="4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2067CD4" w14:textId="45E832FC" w:rsidR="001E3D12" w:rsidRPr="00410C27" w:rsidRDefault="001E3D12" w:rsidP="00F34D10">
            <w:pPr>
              <w:rPr>
                <w:sz w:val="21"/>
              </w:rPr>
            </w:pPr>
            <w:r>
              <w:rPr>
                <w:sz w:val="21"/>
              </w:rPr>
              <w:t>Model 4 – Model 2</w:t>
            </w:r>
            <w:r w:rsidR="00A9621E" w:rsidRPr="00A9621E">
              <w:rPr>
                <w:sz w:val="21"/>
                <w:vertAlign w:val="superscript"/>
              </w:rPr>
              <w:t>3</w:t>
            </w:r>
            <w:r>
              <w:rPr>
                <w:sz w:val="21"/>
              </w:rPr>
              <w:t xml:space="preserve"> + abdominal obesity, </w:t>
            </w:r>
            <w:r w:rsidRPr="00410C27">
              <w:rPr>
                <w:sz w:val="21"/>
              </w:rPr>
              <w:t>HR (95% CI)</w:t>
            </w:r>
          </w:p>
        </w:tc>
        <w:tc>
          <w:tcPr>
            <w:tcW w:w="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DEFBD6F" w14:textId="77777777" w:rsidR="001E3D12" w:rsidRPr="00410C27" w:rsidRDefault="001E3D12" w:rsidP="00F34D1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143453B" w14:textId="77777777" w:rsidR="001E3D12" w:rsidRPr="00C80C61" w:rsidRDefault="001E3D12" w:rsidP="00F3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Ref.</w:t>
            </w:r>
          </w:p>
        </w:tc>
        <w:tc>
          <w:tcPr>
            <w:tcW w:w="1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3CC3D6A7" w14:textId="77777777" w:rsidR="001E3D12" w:rsidRPr="00C80C61" w:rsidRDefault="001E3D12" w:rsidP="00F34D10">
            <w:pPr>
              <w:jc w:val="center"/>
              <w:rPr>
                <w:sz w:val="21"/>
              </w:rPr>
            </w:pP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00EA600" w14:textId="77777777" w:rsidR="001E3D12" w:rsidRPr="00C80C61" w:rsidRDefault="001E3D12" w:rsidP="00F3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1.5 (0.8-2.6)</w:t>
            </w:r>
          </w:p>
        </w:tc>
        <w:tc>
          <w:tcPr>
            <w:tcW w:w="1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D0325F8" w14:textId="77777777" w:rsidR="001E3D12" w:rsidRPr="00C80C61" w:rsidRDefault="001E3D12" w:rsidP="00F34D10">
            <w:pPr>
              <w:jc w:val="center"/>
              <w:rPr>
                <w:sz w:val="21"/>
              </w:rPr>
            </w:pP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CD45803" w14:textId="77777777" w:rsidR="001E3D12" w:rsidRPr="00C80C61" w:rsidRDefault="001E3D12" w:rsidP="00F3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2.3 (1.2-4.3)</w:t>
            </w:r>
          </w:p>
        </w:tc>
        <w:tc>
          <w:tcPr>
            <w:tcW w:w="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941386B" w14:textId="77777777" w:rsidR="001E3D12" w:rsidRPr="00C80C61" w:rsidRDefault="001E3D12" w:rsidP="00F34D10">
            <w:pPr>
              <w:jc w:val="center"/>
              <w:rPr>
                <w:sz w:val="21"/>
              </w:rPr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61E25BB" w14:textId="77777777" w:rsidR="001E3D12" w:rsidRPr="00C80C61" w:rsidRDefault="001E3D12" w:rsidP="00F3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0.008</w:t>
            </w:r>
          </w:p>
        </w:tc>
      </w:tr>
      <w:tr w:rsidR="00A9621E" w:rsidRPr="00CB5905" w14:paraId="1B36DA77" w14:textId="77777777" w:rsidTr="00A9621E">
        <w:trPr>
          <w:trHeight w:val="234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315C26F" w14:textId="77777777" w:rsidR="00A9621E" w:rsidRDefault="00A9621E" w:rsidP="00A9621E">
            <w:pPr>
              <w:jc w:val="both"/>
              <w:rPr>
                <w:sz w:val="20"/>
                <w:szCs w:val="22"/>
                <w:lang w:val="en-US"/>
              </w:rPr>
            </w:pPr>
            <w:r w:rsidRPr="00A9621E">
              <w:rPr>
                <w:sz w:val="20"/>
                <w:szCs w:val="22"/>
                <w:vertAlign w:val="superscript"/>
                <w:lang w:val="en-US"/>
              </w:rPr>
              <w:t>1</w:t>
            </w:r>
            <w:r w:rsidRPr="00A9621E">
              <w:rPr>
                <w:sz w:val="20"/>
                <w:szCs w:val="22"/>
                <w:lang w:val="en-US"/>
              </w:rPr>
              <w:t xml:space="preserve"> HWCS, Health Workers Cohort Study; IQR; interquartile range; HR, hazard risk; CI, confidence interval; BMI, body mass index.</w:t>
            </w:r>
          </w:p>
          <w:p w14:paraId="14509460" w14:textId="2EDD9BC6" w:rsidR="00A9621E" w:rsidRDefault="00A9621E" w:rsidP="00A9621E">
            <w:pPr>
              <w:jc w:val="both"/>
              <w:rPr>
                <w:sz w:val="20"/>
                <w:szCs w:val="22"/>
                <w:lang w:val="en-US"/>
              </w:rPr>
            </w:pPr>
            <w:r w:rsidRPr="00A9621E">
              <w:rPr>
                <w:sz w:val="20"/>
                <w:szCs w:val="22"/>
                <w:vertAlign w:val="superscript"/>
                <w:lang w:val="en-US"/>
              </w:rPr>
              <w:t>2</w:t>
            </w:r>
            <w:r w:rsidRPr="00A9621E">
              <w:rPr>
                <w:sz w:val="20"/>
                <w:szCs w:val="22"/>
                <w:lang w:val="en-US"/>
              </w:rPr>
              <w:t>A linear trend in the HR for each of the soft drinks categories was evaluated by including a continuous variable in the model representing the median values of each of soft drinks intake.</w:t>
            </w:r>
          </w:p>
          <w:p w14:paraId="02088083" w14:textId="1EC3AA1B" w:rsidR="00A9621E" w:rsidRPr="00A9621E" w:rsidRDefault="00A9621E" w:rsidP="00A9621E">
            <w:pPr>
              <w:jc w:val="both"/>
              <w:rPr>
                <w:sz w:val="20"/>
                <w:szCs w:val="22"/>
                <w:lang w:val="en-US"/>
              </w:rPr>
            </w:pPr>
            <w:r w:rsidRPr="00A9621E">
              <w:rPr>
                <w:sz w:val="20"/>
                <w:szCs w:val="22"/>
                <w:vertAlign w:val="superscript"/>
                <w:lang w:val="en-US"/>
              </w:rPr>
              <w:t>3</w:t>
            </w:r>
            <w:r w:rsidRPr="00A9621E">
              <w:rPr>
                <w:sz w:val="20"/>
                <w:szCs w:val="22"/>
                <w:lang w:val="en-US"/>
              </w:rPr>
              <w:t>Adjusted for baseline covariates: age, sex, total energy intake, physical activity, smoking status, family history of diabetes, and alcohol intake at baseline.</w:t>
            </w:r>
          </w:p>
        </w:tc>
      </w:tr>
    </w:tbl>
    <w:p w14:paraId="3D1928D5" w14:textId="77777777" w:rsidR="00A86716" w:rsidRPr="00A9621E" w:rsidRDefault="00780F61">
      <w:pPr>
        <w:rPr>
          <w:lang w:val="en-US"/>
        </w:rPr>
      </w:pPr>
    </w:p>
    <w:sectPr w:rsidR="00A86716" w:rsidRPr="00A9621E" w:rsidSect="00562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12"/>
    <w:rsid w:val="00002330"/>
    <w:rsid w:val="00035CE5"/>
    <w:rsid w:val="00036159"/>
    <w:rsid w:val="00052042"/>
    <w:rsid w:val="00061C98"/>
    <w:rsid w:val="000A58D9"/>
    <w:rsid w:val="000D3B5F"/>
    <w:rsid w:val="000D5B1F"/>
    <w:rsid w:val="000E2A4F"/>
    <w:rsid w:val="000E3A28"/>
    <w:rsid w:val="001175A2"/>
    <w:rsid w:val="001523BA"/>
    <w:rsid w:val="00171257"/>
    <w:rsid w:val="00177E2E"/>
    <w:rsid w:val="00182C09"/>
    <w:rsid w:val="001E3D12"/>
    <w:rsid w:val="001E4CE1"/>
    <w:rsid w:val="0021781A"/>
    <w:rsid w:val="00230451"/>
    <w:rsid w:val="00236A53"/>
    <w:rsid w:val="00267610"/>
    <w:rsid w:val="002774CB"/>
    <w:rsid w:val="002A3BBB"/>
    <w:rsid w:val="002B2FE7"/>
    <w:rsid w:val="002C3922"/>
    <w:rsid w:val="002E02E1"/>
    <w:rsid w:val="002E7512"/>
    <w:rsid w:val="003107B9"/>
    <w:rsid w:val="0032525D"/>
    <w:rsid w:val="00334963"/>
    <w:rsid w:val="00337565"/>
    <w:rsid w:val="00347FF5"/>
    <w:rsid w:val="00387E84"/>
    <w:rsid w:val="00392F69"/>
    <w:rsid w:val="003D2F00"/>
    <w:rsid w:val="0042056E"/>
    <w:rsid w:val="00421572"/>
    <w:rsid w:val="00475718"/>
    <w:rsid w:val="004765DC"/>
    <w:rsid w:val="004871A1"/>
    <w:rsid w:val="00493891"/>
    <w:rsid w:val="004B4F7E"/>
    <w:rsid w:val="004C2E81"/>
    <w:rsid w:val="004D5147"/>
    <w:rsid w:val="004E4DCB"/>
    <w:rsid w:val="004F709A"/>
    <w:rsid w:val="00504146"/>
    <w:rsid w:val="00543A7A"/>
    <w:rsid w:val="00547D71"/>
    <w:rsid w:val="00553424"/>
    <w:rsid w:val="00561A9B"/>
    <w:rsid w:val="005625E0"/>
    <w:rsid w:val="00571C59"/>
    <w:rsid w:val="00574660"/>
    <w:rsid w:val="005A6CE5"/>
    <w:rsid w:val="005C4B72"/>
    <w:rsid w:val="005D130A"/>
    <w:rsid w:val="005E28B5"/>
    <w:rsid w:val="00605A3E"/>
    <w:rsid w:val="006305D6"/>
    <w:rsid w:val="00650339"/>
    <w:rsid w:val="00670240"/>
    <w:rsid w:val="006B16F3"/>
    <w:rsid w:val="006D2720"/>
    <w:rsid w:val="006D6322"/>
    <w:rsid w:val="0071336D"/>
    <w:rsid w:val="0073029C"/>
    <w:rsid w:val="00780F61"/>
    <w:rsid w:val="007C4393"/>
    <w:rsid w:val="007D4656"/>
    <w:rsid w:val="008040C5"/>
    <w:rsid w:val="00867FC8"/>
    <w:rsid w:val="00876134"/>
    <w:rsid w:val="008A265C"/>
    <w:rsid w:val="008A7137"/>
    <w:rsid w:val="008B6FD6"/>
    <w:rsid w:val="008B7B5C"/>
    <w:rsid w:val="008D4A25"/>
    <w:rsid w:val="008D644D"/>
    <w:rsid w:val="008F35CC"/>
    <w:rsid w:val="008F5472"/>
    <w:rsid w:val="00925C06"/>
    <w:rsid w:val="00937421"/>
    <w:rsid w:val="0095110F"/>
    <w:rsid w:val="009640D0"/>
    <w:rsid w:val="00965DE0"/>
    <w:rsid w:val="0096619C"/>
    <w:rsid w:val="00981F5A"/>
    <w:rsid w:val="009858E9"/>
    <w:rsid w:val="0098655C"/>
    <w:rsid w:val="009A3661"/>
    <w:rsid w:val="009B0DDA"/>
    <w:rsid w:val="009C06DE"/>
    <w:rsid w:val="009C747B"/>
    <w:rsid w:val="009D45C6"/>
    <w:rsid w:val="009F1186"/>
    <w:rsid w:val="009F5483"/>
    <w:rsid w:val="00A0558E"/>
    <w:rsid w:val="00A35A62"/>
    <w:rsid w:val="00A5004C"/>
    <w:rsid w:val="00A56000"/>
    <w:rsid w:val="00A81C2C"/>
    <w:rsid w:val="00A91E0E"/>
    <w:rsid w:val="00A9621E"/>
    <w:rsid w:val="00AA44B1"/>
    <w:rsid w:val="00AB0ED3"/>
    <w:rsid w:val="00AB11D9"/>
    <w:rsid w:val="00AC760B"/>
    <w:rsid w:val="00AD5FE6"/>
    <w:rsid w:val="00B24E84"/>
    <w:rsid w:val="00B556A1"/>
    <w:rsid w:val="00B61F26"/>
    <w:rsid w:val="00BA17AB"/>
    <w:rsid w:val="00BA76B2"/>
    <w:rsid w:val="00BD7BB2"/>
    <w:rsid w:val="00BF0B7E"/>
    <w:rsid w:val="00C0065F"/>
    <w:rsid w:val="00C05197"/>
    <w:rsid w:val="00C07AD6"/>
    <w:rsid w:val="00C23CD6"/>
    <w:rsid w:val="00C263C0"/>
    <w:rsid w:val="00C31789"/>
    <w:rsid w:val="00C32110"/>
    <w:rsid w:val="00C43C3E"/>
    <w:rsid w:val="00C50310"/>
    <w:rsid w:val="00C71EFB"/>
    <w:rsid w:val="00C80806"/>
    <w:rsid w:val="00C95667"/>
    <w:rsid w:val="00CA2F2E"/>
    <w:rsid w:val="00CB3FB0"/>
    <w:rsid w:val="00CB5905"/>
    <w:rsid w:val="00CD32B4"/>
    <w:rsid w:val="00CD7DFC"/>
    <w:rsid w:val="00CE390E"/>
    <w:rsid w:val="00CF0959"/>
    <w:rsid w:val="00CF0B8B"/>
    <w:rsid w:val="00CF0C13"/>
    <w:rsid w:val="00D04ADF"/>
    <w:rsid w:val="00D22A34"/>
    <w:rsid w:val="00D23CD7"/>
    <w:rsid w:val="00D4136B"/>
    <w:rsid w:val="00D540EE"/>
    <w:rsid w:val="00D61E11"/>
    <w:rsid w:val="00D63A28"/>
    <w:rsid w:val="00DA633D"/>
    <w:rsid w:val="00DB61A0"/>
    <w:rsid w:val="00DC3297"/>
    <w:rsid w:val="00DF0978"/>
    <w:rsid w:val="00DF34F7"/>
    <w:rsid w:val="00DF5550"/>
    <w:rsid w:val="00DF7615"/>
    <w:rsid w:val="00E228BF"/>
    <w:rsid w:val="00E62405"/>
    <w:rsid w:val="00E631EB"/>
    <w:rsid w:val="00E71350"/>
    <w:rsid w:val="00E7660D"/>
    <w:rsid w:val="00E776DE"/>
    <w:rsid w:val="00E804CE"/>
    <w:rsid w:val="00E90C18"/>
    <w:rsid w:val="00EB4F2A"/>
    <w:rsid w:val="00EC7261"/>
    <w:rsid w:val="00EE070B"/>
    <w:rsid w:val="00F21DCC"/>
    <w:rsid w:val="00F22314"/>
    <w:rsid w:val="00F66A2D"/>
    <w:rsid w:val="00F770B4"/>
    <w:rsid w:val="00F80B5D"/>
    <w:rsid w:val="00FA63D7"/>
    <w:rsid w:val="00FD03A0"/>
    <w:rsid w:val="00FD1F6C"/>
    <w:rsid w:val="00FD211F"/>
    <w:rsid w:val="00FD3800"/>
    <w:rsid w:val="00FD3FA7"/>
    <w:rsid w:val="00FE2844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7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D12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9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905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Lopez Olmedo</dc:creator>
  <cp:keywords/>
  <dc:description/>
  <cp:lastModifiedBy>Alamberto</cp:lastModifiedBy>
  <cp:revision>2</cp:revision>
  <dcterms:created xsi:type="dcterms:W3CDTF">2020-07-29T07:11:00Z</dcterms:created>
  <dcterms:modified xsi:type="dcterms:W3CDTF">2020-07-29T07:11:00Z</dcterms:modified>
</cp:coreProperties>
</file>