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E5D1E" w14:textId="77777777" w:rsidR="004E0F8D" w:rsidRDefault="004E0F8D" w:rsidP="00594C5F">
      <w:pPr>
        <w:spacing w:line="360" w:lineRule="auto"/>
        <w:rPr>
          <w:rFonts w:ascii="Times New Roman" w:hAnsi="Times New Roman" w:cs="Times New Roman"/>
        </w:rPr>
      </w:pPr>
      <w:bookmarkStart w:id="0" w:name="_Hlk44085822"/>
      <w:bookmarkEnd w:id="0"/>
    </w:p>
    <w:p w14:paraId="1D2E3BE4" w14:textId="0C482DD2" w:rsidR="004E0F8D" w:rsidRPr="004E0F8D" w:rsidRDefault="004E0F8D" w:rsidP="004E0F8D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 w:rsidRPr="004E0F8D">
        <w:rPr>
          <w:rFonts w:ascii="Times New Roman" w:hAnsi="Times New Roman" w:cs="Times New Roman"/>
          <w:sz w:val="40"/>
          <w:szCs w:val="40"/>
        </w:rPr>
        <w:t>Supplemental Information</w:t>
      </w:r>
    </w:p>
    <w:p w14:paraId="5A1EFD8B" w14:textId="77777777" w:rsidR="00BA7FD9" w:rsidRPr="00BA7FD9" w:rsidRDefault="00BA7FD9" w:rsidP="00BA7FD9">
      <w:pPr>
        <w:pStyle w:val="Texto"/>
        <w:ind w:firstLine="0"/>
        <w:rPr>
          <w:rFonts w:ascii="Times New Roman" w:hAnsi="Times New Roman" w:cs="Times New Roman"/>
          <w:b/>
          <w:bCs/>
          <w:i/>
          <w:iCs/>
          <w:sz w:val="40"/>
          <w:szCs w:val="40"/>
          <w:lang w:val="en-IE"/>
        </w:rPr>
      </w:pPr>
      <w:bookmarkStart w:id="1" w:name="_Hlk45115118"/>
      <w:r w:rsidRPr="00BA7FD9">
        <w:rPr>
          <w:rFonts w:ascii="Times New Roman" w:hAnsi="Times New Roman" w:cs="Times New Roman"/>
          <w:b/>
          <w:bCs/>
          <w:i/>
          <w:iCs/>
          <w:sz w:val="40"/>
          <w:szCs w:val="40"/>
          <w:lang w:val="en-IE"/>
        </w:rPr>
        <w:t>Enzymatic activities and analysis of a mycelium-based composite formation using peach palm (Bactris gasipaes) residues on Lentinula edodes</w:t>
      </w:r>
    </w:p>
    <w:bookmarkEnd w:id="1"/>
    <w:p w14:paraId="42856288" w14:textId="77777777" w:rsidR="00BA7FD9" w:rsidRPr="00D763AC" w:rsidRDefault="00BA7FD9" w:rsidP="00BA7FD9">
      <w:pPr>
        <w:pStyle w:val="Texto"/>
        <w:spacing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763AC">
        <w:rPr>
          <w:rFonts w:ascii="Times New Roman" w:hAnsi="Times New Roman" w:cs="Times New Roman"/>
          <w:sz w:val="24"/>
          <w:szCs w:val="24"/>
        </w:rPr>
        <w:t xml:space="preserve">Gabriel Goetten de Lima </w:t>
      </w:r>
      <w:r w:rsidRPr="00D763AC">
        <w:rPr>
          <w:rFonts w:ascii="Times New Roman" w:hAnsi="Times New Roman" w:cs="Times New Roman"/>
          <w:sz w:val="24"/>
          <w:szCs w:val="24"/>
          <w:vertAlign w:val="superscript"/>
        </w:rPr>
        <w:t>a-b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*</w:t>
      </w:r>
      <w:r w:rsidRPr="00D763A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Zaira Chiodini Pedri </w:t>
      </w:r>
      <w:r w:rsidRPr="00D00991">
        <w:rPr>
          <w:rFonts w:ascii="Times New Roman" w:hAnsi="Times New Roman" w:cs="Times New Roman"/>
          <w:sz w:val="24"/>
          <w:szCs w:val="24"/>
        </w:rPr>
        <w:t>Schoenherr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76B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763AC">
        <w:rPr>
          <w:rFonts w:ascii="Times New Roman" w:hAnsi="Times New Roman" w:cs="Times New Roman"/>
          <w:sz w:val="24"/>
          <w:szCs w:val="24"/>
        </w:rPr>
        <w:t xml:space="preserve">Washington Luiz Esteves Magalhães </w:t>
      </w:r>
      <w:proofErr w:type="gramStart"/>
      <w:r w:rsidRPr="00D763AC">
        <w:rPr>
          <w:rFonts w:ascii="Times New Roman" w:hAnsi="Times New Roman" w:cs="Times New Roman"/>
          <w:sz w:val="24"/>
          <w:szCs w:val="24"/>
          <w:vertAlign w:val="superscript"/>
        </w:rPr>
        <w:t>a,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Pr="00D763A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7576B">
        <w:rPr>
          <w:rFonts w:ascii="Times New Roman" w:hAnsi="Times New Roman" w:cs="Times New Roman"/>
          <w:sz w:val="24"/>
          <w:szCs w:val="24"/>
        </w:rPr>
        <w:t>Lorena Benathar Ballod Tavares</w:t>
      </w:r>
      <w:r w:rsidRPr="00B7576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B7576B">
        <w:rPr>
          <w:rFonts w:ascii="Times New Roman" w:hAnsi="Times New Roman" w:cs="Times New Roman"/>
          <w:sz w:val="24"/>
          <w:szCs w:val="24"/>
        </w:rPr>
        <w:t>, Cristiane Vieira Helm</w:t>
      </w:r>
      <w:r w:rsidRPr="00B7576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d</w:t>
      </w:r>
    </w:p>
    <w:p w14:paraId="1221E416" w14:textId="77777777" w:rsidR="00BA7FD9" w:rsidRPr="00D763AC" w:rsidRDefault="00BA7FD9" w:rsidP="00BA7F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763AC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a</w:t>
      </w:r>
      <w:r w:rsidRPr="00D763AC">
        <w:rPr>
          <w:rFonts w:ascii="Times New Roman" w:hAnsi="Times New Roman" w:cs="Times New Roman"/>
          <w:sz w:val="24"/>
          <w:szCs w:val="24"/>
          <w:lang w:val="pt-BR"/>
        </w:rPr>
        <w:t xml:space="preserve"> Programa de Pós-Graduação em Engenharia e Ciência dos Materiais - PIPE, Universidade Federal do Paraná, Curitiba, Paraná, Brazil</w:t>
      </w:r>
    </w:p>
    <w:p w14:paraId="3937C9F4" w14:textId="77777777" w:rsidR="00BA7FD9" w:rsidRDefault="00BA7FD9" w:rsidP="00BA7F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48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321482">
        <w:rPr>
          <w:rFonts w:ascii="Times New Roman" w:hAnsi="Times New Roman" w:cs="Times New Roman"/>
          <w:sz w:val="24"/>
          <w:szCs w:val="24"/>
        </w:rPr>
        <w:t xml:space="preserve"> Materials Research Institute, Athlone Institute of Technology, Athlone, Ireland</w:t>
      </w:r>
    </w:p>
    <w:p w14:paraId="2C4B64B1" w14:textId="77777777" w:rsidR="00BA7FD9" w:rsidRDefault="00BA7FD9" w:rsidP="00BA7F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B7576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c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465A79">
        <w:rPr>
          <w:rFonts w:ascii="Times New Roman" w:hAnsi="Times New Roman" w:cs="Times New Roman"/>
          <w:sz w:val="24"/>
          <w:szCs w:val="24"/>
          <w:lang w:val="pt-BR"/>
        </w:rPr>
        <w:t>Programa de Pós-Graduação em Engenharia Ambiental - PPGEA, Universidade Regional de Blumenau, Blumenau, Santa Catarina, Brazil</w:t>
      </w:r>
    </w:p>
    <w:p w14:paraId="6362A5FA" w14:textId="77777777" w:rsidR="00BA7FD9" w:rsidRPr="00D763AC" w:rsidRDefault="00BA7FD9" w:rsidP="00BA7F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d</w:t>
      </w:r>
      <w:r w:rsidRPr="00D763AC">
        <w:rPr>
          <w:rFonts w:ascii="Times New Roman" w:hAnsi="Times New Roman" w:cs="Times New Roman"/>
          <w:sz w:val="24"/>
          <w:szCs w:val="24"/>
          <w:lang w:val="pt-BR"/>
        </w:rPr>
        <w:t xml:space="preserve"> Embrapa Florestas, Colombo, Brazil</w:t>
      </w:r>
    </w:p>
    <w:p w14:paraId="5A865331" w14:textId="77777777" w:rsidR="00BA7FD9" w:rsidRPr="00465A79" w:rsidRDefault="00BA7FD9" w:rsidP="00BA7F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65A79">
        <w:rPr>
          <w:rFonts w:ascii="Times New Roman" w:hAnsi="Times New Roman" w:cs="Times New Roman"/>
          <w:sz w:val="24"/>
          <w:szCs w:val="24"/>
          <w:lang w:val="pt-BR"/>
        </w:rPr>
        <w:t xml:space="preserve">* corresponding author: </w:t>
      </w:r>
      <w:hyperlink r:id="rId6" w:history="1">
        <w:r w:rsidRPr="00465A79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ggoetten@research.ait.ie</w:t>
        </w:r>
      </w:hyperlink>
      <w:r w:rsidRPr="00465A79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14:paraId="0BE34934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5D42D0FB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395858A0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570E4AD5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3CAA5E6E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59AF83BF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61361DFA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5F1EAF76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65C23487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71A500C9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6CFA9309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4BFDDD38" w14:textId="77777777" w:rsidR="004E0F8D" w:rsidRPr="004E0F8D" w:rsidRDefault="004E0F8D" w:rsidP="00594C5F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2F157A55" w14:textId="63E7BB00" w:rsidR="004D2FE4" w:rsidRPr="00594C5F" w:rsidRDefault="00A768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375682" wp14:editId="12FE6357">
            <wp:extent cx="5248275" cy="36982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78" cy="3738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6E895" w14:textId="2B0298A3" w:rsidR="004D2FE4" w:rsidRPr="00594C5F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</w:t>
      </w:r>
      <w:r w:rsidR="005F7765">
        <w:rPr>
          <w:rFonts w:ascii="Times New Roman" w:hAnsi="Times New Roman" w:cs="Times New Roman"/>
          <w:b/>
          <w:bCs/>
        </w:rPr>
        <w:t>g.</w:t>
      </w:r>
      <w:r w:rsidRPr="00594C5F">
        <w:rPr>
          <w:rFonts w:ascii="Times New Roman" w:hAnsi="Times New Roman" w:cs="Times New Roman"/>
          <w:b/>
          <w:bCs/>
        </w:rPr>
        <w:t xml:space="preserve"> </w:t>
      </w:r>
      <w:r w:rsidR="005F7765">
        <w:rPr>
          <w:rFonts w:ascii="Times New Roman" w:hAnsi="Times New Roman" w:cs="Times New Roman"/>
          <w:b/>
          <w:bCs/>
        </w:rPr>
        <w:t>A</w:t>
      </w:r>
      <w:r w:rsidRPr="00594C5F">
        <w:rPr>
          <w:rFonts w:ascii="Times New Roman" w:hAnsi="Times New Roman" w:cs="Times New Roman"/>
          <w:b/>
          <w:bCs/>
        </w:rPr>
        <w:t>.1.</w:t>
      </w:r>
      <w:r w:rsidRPr="00594C5F">
        <w:rPr>
          <w:rFonts w:ascii="Times New Roman" w:hAnsi="Times New Roman" w:cs="Times New Roman"/>
        </w:rPr>
        <w:t xml:space="preserve"> Surface contour plot of pH evaluation under different treatments using the studied inoculum solid (S) or liquid (L) and time periods of 12 and 20 days.</w:t>
      </w:r>
    </w:p>
    <w:p w14:paraId="5DE54DB9" w14:textId="02A4D427" w:rsidR="00EB3C45" w:rsidRPr="00594C5F" w:rsidRDefault="007F2171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drawing>
          <wp:inline distT="0" distB="0" distL="0" distR="0" wp14:anchorId="225D93D3" wp14:editId="7AD4ED04">
            <wp:extent cx="5343525" cy="382050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16" cy="386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B4E13" w14:textId="15120888" w:rsidR="004D2FE4" w:rsidRPr="00594C5F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S.2.</w:t>
      </w:r>
      <w:r w:rsidRPr="00594C5F">
        <w:rPr>
          <w:rFonts w:ascii="Times New Roman" w:hAnsi="Times New Roman" w:cs="Times New Roman"/>
        </w:rPr>
        <w:t xml:space="preserve"> Surface contour plot of Moisture evaluation under different treatments using the studied inoculum solid (S) or liquid (L) and time periods of 12 and 20 days.</w:t>
      </w:r>
    </w:p>
    <w:p w14:paraId="3C07A7DB" w14:textId="69AFB41A" w:rsidR="007F2171" w:rsidRPr="00594C5F" w:rsidRDefault="007F2171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1D8758" wp14:editId="707AFC8F">
            <wp:extent cx="5448300" cy="3725532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38" cy="379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8F03B" w14:textId="74A4A333" w:rsidR="007F2171" w:rsidRPr="00594C5F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S.3.</w:t>
      </w:r>
      <w:r w:rsidRPr="00594C5F">
        <w:rPr>
          <w:rFonts w:ascii="Times New Roman" w:hAnsi="Times New Roman" w:cs="Times New Roman"/>
        </w:rPr>
        <w:t xml:space="preserve"> Surface contour plot of W</w:t>
      </w:r>
      <w:r w:rsidRPr="00594C5F">
        <w:rPr>
          <w:rFonts w:ascii="Times New Roman" w:hAnsi="Times New Roman" w:cs="Times New Roman"/>
          <w:vertAlign w:val="subscript"/>
        </w:rPr>
        <w:t>a</w:t>
      </w:r>
      <w:r w:rsidRPr="00594C5F">
        <w:rPr>
          <w:rFonts w:ascii="Times New Roman" w:hAnsi="Times New Roman" w:cs="Times New Roman"/>
        </w:rPr>
        <w:t xml:space="preserve"> evaluation under different treatments using the studied inoculum solid (S) or liquid (L) and time periods of 12 and 20 days.</w:t>
      </w:r>
    </w:p>
    <w:p w14:paraId="168A2BAE" w14:textId="6C56FE24" w:rsidR="007F2171" w:rsidRPr="00594C5F" w:rsidRDefault="007F2171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drawing>
          <wp:inline distT="0" distB="0" distL="0" distR="0" wp14:anchorId="5BCB9800" wp14:editId="6ABF9040">
            <wp:extent cx="5043457" cy="3753134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0" cy="3813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096AC" w14:textId="19E9E4C6" w:rsidR="007F2171" w:rsidRPr="00594C5F" w:rsidRDefault="007F2171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S.4</w:t>
      </w:r>
      <w:r w:rsidR="004D2FE4" w:rsidRPr="00594C5F">
        <w:rPr>
          <w:rFonts w:ascii="Times New Roman" w:hAnsi="Times New Roman" w:cs="Times New Roman"/>
          <w:b/>
          <w:bCs/>
        </w:rPr>
        <w:t>.</w:t>
      </w:r>
      <w:r w:rsidR="004D2FE4" w:rsidRPr="00594C5F">
        <w:rPr>
          <w:rFonts w:ascii="Times New Roman" w:hAnsi="Times New Roman" w:cs="Times New Roman"/>
        </w:rPr>
        <w:t xml:space="preserve"> Pareto diagram for the studied treatments influence on pH values using inoculum solid (S) or liquid (L) and time periods of 12 and 20 days</w:t>
      </w:r>
    </w:p>
    <w:p w14:paraId="543F9472" w14:textId="1B814E98" w:rsidR="007F2171" w:rsidRPr="00594C5F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5B3E27" wp14:editId="356C34C9">
            <wp:extent cx="5170255" cy="38145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58" cy="388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882EF" w14:textId="448A1D09" w:rsidR="004D2FE4" w:rsidRPr="00594C5F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S.5.</w:t>
      </w:r>
      <w:r w:rsidRPr="00594C5F">
        <w:rPr>
          <w:rFonts w:ascii="Times New Roman" w:hAnsi="Times New Roman" w:cs="Times New Roman"/>
        </w:rPr>
        <w:t xml:space="preserve"> Pareto diagram for the studied treatments influence on moisture values using inoculum solid (S) or liquid (L) and time periods of 12 and 20 days</w:t>
      </w:r>
    </w:p>
    <w:p w14:paraId="7559806F" w14:textId="6BAB73AD" w:rsidR="007F2171" w:rsidRPr="00594C5F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drawing>
          <wp:inline distT="0" distB="0" distL="0" distR="0" wp14:anchorId="31B46372" wp14:editId="744C5579">
            <wp:extent cx="4752975" cy="3502351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9" cy="3550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81A657" w14:textId="0272E267" w:rsidR="004D2FE4" w:rsidRPr="00594C5F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S.6.</w:t>
      </w:r>
      <w:r w:rsidRPr="00594C5F">
        <w:rPr>
          <w:rFonts w:ascii="Times New Roman" w:hAnsi="Times New Roman" w:cs="Times New Roman"/>
        </w:rPr>
        <w:t xml:space="preserve"> Pareto diagram for the studied treatments influence on W</w:t>
      </w:r>
      <w:r w:rsidRPr="00594C5F">
        <w:rPr>
          <w:rFonts w:ascii="Times New Roman" w:hAnsi="Times New Roman" w:cs="Times New Roman"/>
          <w:vertAlign w:val="subscript"/>
        </w:rPr>
        <w:t>a</w:t>
      </w:r>
      <w:r w:rsidRPr="00594C5F">
        <w:rPr>
          <w:rFonts w:ascii="Times New Roman" w:hAnsi="Times New Roman" w:cs="Times New Roman"/>
        </w:rPr>
        <w:t xml:space="preserve"> values using inoculum solid (S) or liquid (L) and time periods of 12 and 20 days</w:t>
      </w:r>
    </w:p>
    <w:p w14:paraId="0C5921B2" w14:textId="0B7D13ED" w:rsidR="004D2FE4" w:rsidRPr="00594C5F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AB3E85" wp14:editId="7CD3A105">
            <wp:extent cx="4657725" cy="356204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41" cy="363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54E67" w14:textId="306A6EDA" w:rsidR="004D2FE4" w:rsidRPr="00594C5F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S.7.</w:t>
      </w:r>
      <w:r w:rsidRPr="00594C5F">
        <w:rPr>
          <w:rFonts w:ascii="Times New Roman" w:hAnsi="Times New Roman" w:cs="Times New Roman"/>
        </w:rPr>
        <w:t xml:space="preserve"> </w:t>
      </w:r>
      <w:bookmarkStart w:id="2" w:name="_Hlk44087454"/>
      <w:r w:rsidRPr="00594C5F">
        <w:rPr>
          <w:rFonts w:ascii="Times New Roman" w:hAnsi="Times New Roman" w:cs="Times New Roman"/>
        </w:rPr>
        <w:t>Surface contour plot of avicelase and xylanase activities under different treatments using the liquid (L) inoculum and time periods of 12 and 20 days</w:t>
      </w:r>
      <w:bookmarkEnd w:id="2"/>
      <w:r w:rsidRPr="00594C5F">
        <w:rPr>
          <w:rFonts w:ascii="Times New Roman" w:hAnsi="Times New Roman" w:cs="Times New Roman"/>
        </w:rPr>
        <w:t>.</w:t>
      </w:r>
    </w:p>
    <w:p w14:paraId="16D10EFB" w14:textId="77777777" w:rsidR="004E0F8D" w:rsidRDefault="00D10980" w:rsidP="00594C5F">
      <w:pPr>
        <w:spacing w:line="360" w:lineRule="auto"/>
        <w:rPr>
          <w:rFonts w:ascii="Times New Roman" w:hAnsi="Times New Roman" w:cs="Times New Roman"/>
          <w:b/>
          <w:bCs/>
        </w:rPr>
      </w:pPr>
      <w:r w:rsidRPr="00594C5F">
        <w:rPr>
          <w:rFonts w:ascii="Times New Roman" w:hAnsi="Times New Roman" w:cs="Times New Roman"/>
          <w:noProof/>
        </w:rPr>
        <w:drawing>
          <wp:inline distT="0" distB="0" distL="0" distR="0" wp14:anchorId="78C9FCCE" wp14:editId="332568F9">
            <wp:extent cx="5173822" cy="38957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90" cy="396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F8C37" w14:textId="57F697CA" w:rsidR="004E0F8D" w:rsidRDefault="004D2FE4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S.8.</w:t>
      </w:r>
      <w:r w:rsidRPr="00594C5F">
        <w:rPr>
          <w:rFonts w:ascii="Times New Roman" w:hAnsi="Times New Roman" w:cs="Times New Roman"/>
        </w:rPr>
        <w:t xml:space="preserve"> Surface contour plot of CMC and β-glucosidase activities under different treatments using the liquid (L) inoculum and time periods of 12 and 20 days.</w:t>
      </w:r>
    </w:p>
    <w:p w14:paraId="5BFEA684" w14:textId="7492D8D8" w:rsidR="00190967" w:rsidRPr="004E0F8D" w:rsidRDefault="00D10980" w:rsidP="00594C5F">
      <w:pPr>
        <w:spacing w:line="360" w:lineRule="auto"/>
        <w:rPr>
          <w:rFonts w:ascii="Times New Roman" w:hAnsi="Times New Roman" w:cs="Times New Roman"/>
          <w:b/>
          <w:bCs/>
        </w:rPr>
      </w:pPr>
      <w:r w:rsidRPr="00594C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0260EA" wp14:editId="4061DC1D">
            <wp:extent cx="4619767" cy="340840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79" cy="3475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C6607" w14:textId="03C9F956" w:rsidR="00541F58" w:rsidRPr="00594C5F" w:rsidRDefault="00541F58" w:rsidP="00594C5F">
      <w:pPr>
        <w:spacing w:line="360" w:lineRule="auto"/>
        <w:jc w:val="both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S.9.</w:t>
      </w:r>
      <w:r w:rsidRPr="00594C5F">
        <w:rPr>
          <w:rFonts w:ascii="Times New Roman" w:hAnsi="Times New Roman" w:cs="Times New Roman"/>
        </w:rPr>
        <w:t xml:space="preserve"> Pareto diagram for the studied treatments influence on enzymatic activity avicelase values using inoculum solid (S) or liquid (L) and time periods of 12 and 20 days</w:t>
      </w:r>
    </w:p>
    <w:p w14:paraId="098FD88C" w14:textId="533E7123" w:rsidR="00541F58" w:rsidRPr="00594C5F" w:rsidRDefault="00541F58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drawing>
          <wp:inline distT="0" distB="0" distL="0" distR="0" wp14:anchorId="10FB8DE6" wp14:editId="6770CD1C">
            <wp:extent cx="4831308" cy="3578765"/>
            <wp:effectExtent l="0" t="0" r="762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31" cy="359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F0030" w14:textId="270EB629" w:rsidR="00541F58" w:rsidRPr="00594C5F" w:rsidRDefault="00541F58" w:rsidP="00594C5F">
      <w:pPr>
        <w:spacing w:line="360" w:lineRule="auto"/>
        <w:jc w:val="both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S.10.</w:t>
      </w:r>
      <w:r w:rsidRPr="00594C5F">
        <w:rPr>
          <w:rFonts w:ascii="Times New Roman" w:hAnsi="Times New Roman" w:cs="Times New Roman"/>
        </w:rPr>
        <w:t xml:space="preserve"> Pareto diagram for the studied treatments influence on enzymatic activity xylanase values using inoculum solid (S) or liquid (L) and time periods of 12 and 20 days</w:t>
      </w:r>
    </w:p>
    <w:p w14:paraId="73D73EBE" w14:textId="77777777" w:rsidR="00541F58" w:rsidRPr="00594C5F" w:rsidRDefault="00541F58" w:rsidP="00594C5F">
      <w:pPr>
        <w:spacing w:line="360" w:lineRule="auto"/>
        <w:rPr>
          <w:rFonts w:ascii="Times New Roman" w:hAnsi="Times New Roman" w:cs="Times New Roman"/>
        </w:rPr>
      </w:pPr>
    </w:p>
    <w:p w14:paraId="0E068A96" w14:textId="184BDC7F" w:rsidR="00D10980" w:rsidRPr="00594C5F" w:rsidRDefault="00D10980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40A584" wp14:editId="6C7EA019">
            <wp:extent cx="4503460" cy="3295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63" cy="3364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F3D1A" w14:textId="55FD31A6" w:rsidR="00D10980" w:rsidRPr="00594C5F" w:rsidRDefault="00541F58" w:rsidP="00594C5F">
      <w:pPr>
        <w:spacing w:line="360" w:lineRule="auto"/>
        <w:jc w:val="both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S.1</w:t>
      </w:r>
      <w:r w:rsidR="00FC5ADC" w:rsidRPr="00594C5F">
        <w:rPr>
          <w:rFonts w:ascii="Times New Roman" w:hAnsi="Times New Roman" w:cs="Times New Roman"/>
          <w:b/>
          <w:bCs/>
        </w:rPr>
        <w:t>1</w:t>
      </w:r>
      <w:r w:rsidRPr="00594C5F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</w:rPr>
        <w:t xml:space="preserve"> Pareto diagram for the studied treatments influence on enzymatic activity CMC values using inoculum solid (S) or liquid (L) and time periods of 12 and 20 days</w:t>
      </w:r>
    </w:p>
    <w:p w14:paraId="32B78B15" w14:textId="522DE45A" w:rsidR="00D10980" w:rsidRPr="00594C5F" w:rsidRDefault="00D10980" w:rsidP="00594C5F">
      <w:pPr>
        <w:spacing w:line="360" w:lineRule="auto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drawing>
          <wp:inline distT="0" distB="0" distL="0" distR="0" wp14:anchorId="1B86C8B4" wp14:editId="35B4B1AA">
            <wp:extent cx="4514850" cy="38153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66" cy="383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FB169" w14:textId="0FDAFCD2" w:rsidR="00594C5F" w:rsidRPr="00594C5F" w:rsidRDefault="00541F58" w:rsidP="00594C5F">
      <w:pPr>
        <w:spacing w:line="360" w:lineRule="auto"/>
        <w:jc w:val="both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S.1</w:t>
      </w:r>
      <w:r w:rsidR="00FC5ADC" w:rsidRPr="00594C5F">
        <w:rPr>
          <w:rFonts w:ascii="Times New Roman" w:hAnsi="Times New Roman" w:cs="Times New Roman"/>
          <w:b/>
          <w:bCs/>
        </w:rPr>
        <w:t>2</w:t>
      </w:r>
      <w:r w:rsidRPr="00594C5F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</w:rPr>
        <w:t xml:space="preserve"> Pareto diagram for the studied treatments influence on enzymatic activity β-glucosidase values using inoculum solid (S) or liquid (L) and time periods of 12 and 20 days</w:t>
      </w:r>
      <w:r w:rsidR="00594C5F" w:rsidRPr="00594C5F">
        <w:rPr>
          <w:rFonts w:ascii="Times New Roman" w:hAnsi="Times New Roman" w:cs="Times New Roman"/>
        </w:rPr>
        <w:t>.</w:t>
      </w:r>
    </w:p>
    <w:p w14:paraId="73056A50" w14:textId="414B449B" w:rsidR="00594C5F" w:rsidRPr="00594C5F" w:rsidRDefault="00594C5F" w:rsidP="00594C5F">
      <w:pPr>
        <w:spacing w:line="360" w:lineRule="auto"/>
        <w:jc w:val="both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3B80471" wp14:editId="1CF0F83B">
            <wp:extent cx="4627741" cy="35102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74" cy="3528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80D1A" w14:textId="0B0B484B" w:rsidR="00D10980" w:rsidRPr="00594C5F" w:rsidRDefault="00594C5F" w:rsidP="00594C5F">
      <w:pPr>
        <w:spacing w:line="360" w:lineRule="auto"/>
        <w:jc w:val="both"/>
        <w:rPr>
          <w:rFonts w:ascii="Times New Roman" w:hAnsi="Times New Roman" w:cs="Times New Roman"/>
        </w:rPr>
      </w:pPr>
      <w:r w:rsidRPr="00594C5F">
        <w:rPr>
          <w:rFonts w:ascii="Times New Roman" w:hAnsi="Times New Roman" w:cs="Times New Roman"/>
          <w:b/>
          <w:bCs/>
        </w:rPr>
        <w:t>Fig</w:t>
      </w:r>
      <w:r w:rsidR="005F7765">
        <w:rPr>
          <w:rFonts w:ascii="Times New Roman" w:hAnsi="Times New Roman" w:cs="Times New Roman"/>
          <w:b/>
          <w:bCs/>
        </w:rPr>
        <w:t>.</w:t>
      </w:r>
      <w:r w:rsidRPr="00594C5F">
        <w:rPr>
          <w:rFonts w:ascii="Times New Roman" w:hAnsi="Times New Roman" w:cs="Times New Roman"/>
          <w:b/>
          <w:bCs/>
        </w:rPr>
        <w:t xml:space="preserve"> S.13.</w:t>
      </w:r>
      <w:r w:rsidRPr="00594C5F">
        <w:rPr>
          <w:rFonts w:ascii="Times New Roman" w:hAnsi="Times New Roman" w:cs="Times New Roman"/>
        </w:rPr>
        <w:t xml:space="preserve"> Compressive stress-strain response for </w:t>
      </w:r>
      <w:r>
        <w:rPr>
          <w:rFonts w:ascii="Times New Roman" w:hAnsi="Times New Roman" w:cs="Times New Roman"/>
        </w:rPr>
        <w:t>the studied mycelium-based composite non-pressed sample.</w:t>
      </w:r>
    </w:p>
    <w:sectPr w:rsidR="00D10980" w:rsidRPr="00594C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19DEBC" w14:textId="77777777" w:rsidR="00594C5F" w:rsidRDefault="00594C5F" w:rsidP="00594C5F">
      <w:pPr>
        <w:spacing w:after="0" w:line="240" w:lineRule="auto"/>
      </w:pPr>
      <w:r>
        <w:separator/>
      </w:r>
    </w:p>
  </w:endnote>
  <w:endnote w:type="continuationSeparator" w:id="0">
    <w:p w14:paraId="01889D99" w14:textId="77777777" w:rsidR="00594C5F" w:rsidRDefault="00594C5F" w:rsidP="00594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SimSun"/>
    <w:charset w:val="86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BEF3B" w14:textId="77777777" w:rsidR="00594C5F" w:rsidRDefault="00594C5F" w:rsidP="00594C5F">
      <w:pPr>
        <w:spacing w:after="0" w:line="240" w:lineRule="auto"/>
      </w:pPr>
      <w:r>
        <w:separator/>
      </w:r>
    </w:p>
  </w:footnote>
  <w:footnote w:type="continuationSeparator" w:id="0">
    <w:p w14:paraId="73330C52" w14:textId="77777777" w:rsidR="00594C5F" w:rsidRDefault="00594C5F" w:rsidP="00594C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171"/>
    <w:rsid w:val="000E6E20"/>
    <w:rsid w:val="00190967"/>
    <w:rsid w:val="004D2FE4"/>
    <w:rsid w:val="004E0F8D"/>
    <w:rsid w:val="00541F58"/>
    <w:rsid w:val="00594C5F"/>
    <w:rsid w:val="005F7765"/>
    <w:rsid w:val="0061328A"/>
    <w:rsid w:val="007F2171"/>
    <w:rsid w:val="00827D9B"/>
    <w:rsid w:val="008E3320"/>
    <w:rsid w:val="00A768E4"/>
    <w:rsid w:val="00B91A5B"/>
    <w:rsid w:val="00BA7FD9"/>
    <w:rsid w:val="00C7042B"/>
    <w:rsid w:val="00D10980"/>
    <w:rsid w:val="00D93A26"/>
    <w:rsid w:val="00DE7F83"/>
    <w:rsid w:val="00EB3C45"/>
    <w:rsid w:val="00F14EA6"/>
    <w:rsid w:val="00F65496"/>
    <w:rsid w:val="00FC5ADC"/>
    <w:rsid w:val="00FC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F3ACE"/>
  <w15:chartTrackingRefBased/>
  <w15:docId w15:val="{CBB4BF45-C2DE-44B7-A029-75C86D26D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4C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C5F"/>
  </w:style>
  <w:style w:type="paragraph" w:styleId="Footer">
    <w:name w:val="footer"/>
    <w:basedOn w:val="Normal"/>
    <w:link w:val="FooterChar"/>
    <w:uiPriority w:val="99"/>
    <w:unhideWhenUsed/>
    <w:rsid w:val="00594C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C5F"/>
  </w:style>
  <w:style w:type="paragraph" w:customStyle="1" w:styleId="Texto">
    <w:name w:val="Texto"/>
    <w:basedOn w:val="Normal"/>
    <w:qFormat/>
    <w:rsid w:val="004E0F8D"/>
    <w:pPr>
      <w:widowControl w:val="0"/>
      <w:ind w:firstLine="851"/>
      <w:jc w:val="both"/>
    </w:pPr>
    <w:rPr>
      <w:rFonts w:ascii="CG Times" w:eastAsia="CG Times" w:hAnsi="CG Times" w:cs="CG Times"/>
      <w:sz w:val="20"/>
      <w:szCs w:val="20"/>
      <w:lang w:val="pt-BR" w:eastAsia="pt-BR"/>
    </w:rPr>
  </w:style>
  <w:style w:type="character" w:styleId="Hyperlink">
    <w:name w:val="Hyperlink"/>
    <w:basedOn w:val="DefaultParagraphFont"/>
    <w:uiPriority w:val="99"/>
    <w:unhideWhenUsed/>
    <w:rsid w:val="004E0F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ggoetten@research.ait.i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8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Goetten de Lima</dc:creator>
  <cp:keywords/>
  <dc:description/>
  <cp:lastModifiedBy>Gabriel Goetten de Lima</cp:lastModifiedBy>
  <cp:revision>11</cp:revision>
  <dcterms:created xsi:type="dcterms:W3CDTF">2020-06-26T03:28:00Z</dcterms:created>
  <dcterms:modified xsi:type="dcterms:W3CDTF">2020-07-10T15:29:00Z</dcterms:modified>
</cp:coreProperties>
</file>