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27E28" w14:textId="77777777" w:rsidR="00B72B35" w:rsidRDefault="00B72B35" w:rsidP="00B72B35">
      <w:pPr>
        <w:spacing w:line="480" w:lineRule="auto"/>
        <w:jc w:val="both"/>
        <w:rPr>
          <w:rFonts w:hint="eastAsia"/>
        </w:rPr>
      </w:pPr>
      <w:r w:rsidRPr="00B72B35">
        <w:t>Additional Files</w:t>
      </w:r>
    </w:p>
    <w:p w14:paraId="020EBC92" w14:textId="77777777" w:rsidR="00B72B35" w:rsidRDefault="00B72B35" w:rsidP="00B72B35">
      <w:pPr>
        <w:spacing w:line="480" w:lineRule="auto"/>
        <w:jc w:val="both"/>
      </w:pPr>
      <w:r w:rsidRPr="00C722E2">
        <w:t>Supplementary Materials</w:t>
      </w:r>
    </w:p>
    <w:p w14:paraId="0A64E038" w14:textId="77777777" w:rsidR="00B72B35" w:rsidRPr="00740A0A" w:rsidRDefault="00B72B35" w:rsidP="00B72B35">
      <w:pPr>
        <w:spacing w:line="480" w:lineRule="auto"/>
        <w:jc w:val="both"/>
        <w:rPr>
          <w:rFonts w:hint="eastAsia"/>
        </w:rPr>
      </w:pPr>
      <w:r>
        <w:rPr>
          <w:rFonts w:hint="eastAsia"/>
        </w:rPr>
        <w:t>Figure1</w:t>
      </w:r>
      <w:r>
        <w:rPr>
          <w:rFonts w:hint="eastAsia"/>
        </w:rPr>
        <w:t>：</w:t>
      </w:r>
      <w:r>
        <w:t>Standardization of gene expression</w:t>
      </w:r>
      <w:r>
        <w:rPr>
          <w:rFonts w:hint="eastAsia"/>
        </w:rPr>
        <w:t>.</w:t>
      </w:r>
      <w:r>
        <w:t xml:space="preserve"> (a) The standardization of GSE</w:t>
      </w:r>
      <w:r>
        <w:rPr>
          <w:rFonts w:hint="eastAsia"/>
        </w:rPr>
        <w:t>30587</w:t>
      </w:r>
      <w:r>
        <w:t xml:space="preserve"> data, (b</w:t>
      </w:r>
      <w:r w:rsidRPr="00740A0A">
        <w:t>) the standardization of GSE</w:t>
      </w:r>
      <w:r>
        <w:rPr>
          <w:rFonts w:hint="eastAsia"/>
        </w:rPr>
        <w:t xml:space="preserve">137237 </w:t>
      </w:r>
      <w:r>
        <w:t>data, (c</w:t>
      </w:r>
      <w:r w:rsidRPr="00740A0A">
        <w:t>) the standardization of GSE</w:t>
      </w:r>
      <w:r>
        <w:rPr>
          <w:rFonts w:hint="eastAsia"/>
        </w:rPr>
        <w:t xml:space="preserve">98281 </w:t>
      </w:r>
      <w:r w:rsidRPr="00740A0A">
        <w:t>data</w:t>
      </w:r>
      <w:r>
        <w:rPr>
          <w:rFonts w:hint="eastAsia"/>
        </w:rPr>
        <w:t xml:space="preserve"> and (d)</w:t>
      </w:r>
      <w:r w:rsidRPr="00E04CA1">
        <w:t xml:space="preserve"> </w:t>
      </w:r>
      <w:r w:rsidRPr="00740A0A">
        <w:t>the standardization of GSE</w:t>
      </w:r>
      <w:r>
        <w:rPr>
          <w:rFonts w:hint="eastAsia"/>
        </w:rPr>
        <w:t>133296 data</w:t>
      </w:r>
      <w:r>
        <w:t>. The pink</w:t>
      </w:r>
      <w:r w:rsidRPr="00740A0A">
        <w:t xml:space="preserve"> bar represents the data be</w:t>
      </w:r>
      <w:r>
        <w:t xml:space="preserve">fore normalization, and the blue </w:t>
      </w:r>
      <w:r w:rsidRPr="00740A0A">
        <w:t>bar represents the normalized data.</w:t>
      </w:r>
    </w:p>
    <w:p w14:paraId="5AFA7A25" w14:textId="77777777" w:rsidR="00B72B35" w:rsidRPr="00614CAE" w:rsidRDefault="00B72B35" w:rsidP="00B72B35">
      <w:pPr>
        <w:spacing w:line="480" w:lineRule="auto"/>
        <w:jc w:val="both"/>
        <w:rPr>
          <w:rFonts w:hint="eastAsia"/>
        </w:rPr>
      </w:pPr>
      <w:r>
        <w:rPr>
          <w:rFonts w:hint="eastAsia"/>
        </w:rPr>
        <w:t xml:space="preserve">Figure2: </w:t>
      </w:r>
      <w:r w:rsidRPr="00EB5957">
        <w:t>Representative imm</w:t>
      </w:r>
      <w:r>
        <w:t>unohistochemistry images of</w:t>
      </w:r>
      <w:r w:rsidRPr="00CD278A">
        <w:t xml:space="preserve"> </w:t>
      </w:r>
      <w:r>
        <w:rPr>
          <w:rFonts w:hint="eastAsia"/>
        </w:rPr>
        <w:t>hub genes</w:t>
      </w:r>
      <w:r>
        <w:t xml:space="preserve"> </w:t>
      </w:r>
      <w:r w:rsidRPr="00396006">
        <w:t>in ovarian</w:t>
      </w:r>
      <w:r w:rsidRPr="00396006">
        <w:rPr>
          <w:rFonts w:hint="eastAsia"/>
        </w:rPr>
        <w:t xml:space="preserve"> </w:t>
      </w:r>
      <w:r w:rsidRPr="00396006">
        <w:t>adenocarcinoma</w:t>
      </w:r>
      <w:r w:rsidRPr="00396006">
        <w:rPr>
          <w:rFonts w:hint="eastAsia"/>
        </w:rPr>
        <w:t xml:space="preserve"> </w:t>
      </w:r>
      <w:r w:rsidRPr="00396006">
        <w:t xml:space="preserve">serous cancer and normal </w:t>
      </w:r>
      <w:r w:rsidRPr="00396006">
        <w:rPr>
          <w:rFonts w:hint="eastAsia"/>
        </w:rPr>
        <w:t>ovary</w:t>
      </w:r>
      <w:r w:rsidRPr="00396006">
        <w:t xml:space="preserve"> tissues derived from the Human Protein Atlas </w:t>
      </w:r>
      <w:r w:rsidRPr="00396006">
        <w:rPr>
          <w:rFonts w:hint="eastAsia"/>
        </w:rPr>
        <w:t>(</w:t>
      </w:r>
      <w:r w:rsidRPr="00396006">
        <w:t>HPA</w:t>
      </w:r>
      <w:r w:rsidRPr="00396006">
        <w:rPr>
          <w:rFonts w:hint="eastAsia"/>
        </w:rPr>
        <w:t>)</w:t>
      </w:r>
      <w:r w:rsidRPr="00396006">
        <w:t xml:space="preserve"> database</w:t>
      </w:r>
      <w:r>
        <w:rPr>
          <w:rFonts w:hint="eastAsia"/>
        </w:rPr>
        <w:t xml:space="preserve"> and their relationships</w:t>
      </w:r>
      <w:r w:rsidRPr="00396006">
        <w:rPr>
          <w:rFonts w:hint="eastAsia"/>
        </w:rPr>
        <w:t>.</w:t>
      </w:r>
      <w:r>
        <w:rPr>
          <w:rFonts w:hint="eastAsia"/>
        </w:rPr>
        <w:t xml:space="preserve"> </w:t>
      </w:r>
    </w:p>
    <w:p w14:paraId="562CB7F2" w14:textId="77777777" w:rsidR="00B72B35" w:rsidRDefault="00B72B35" w:rsidP="00B72B35">
      <w:pPr>
        <w:spacing w:line="480" w:lineRule="auto"/>
        <w:jc w:val="both"/>
        <w:rPr>
          <w:rFonts w:hint="eastAsia"/>
        </w:rPr>
      </w:pPr>
      <w:r>
        <w:t>F</w:t>
      </w:r>
      <w:r>
        <w:rPr>
          <w:rFonts w:hint="eastAsia"/>
        </w:rPr>
        <w:t xml:space="preserve">igure3: </w:t>
      </w:r>
      <w:r>
        <w:t xml:space="preserve">The correlations of </w:t>
      </w:r>
      <w:r>
        <w:rPr>
          <w:rFonts w:hint="eastAsia"/>
        </w:rPr>
        <w:t>6</w:t>
      </w:r>
      <w:r>
        <w:t xml:space="preserve"> hub genes and </w:t>
      </w:r>
      <w:r>
        <w:rPr>
          <w:rFonts w:hint="eastAsia"/>
        </w:rPr>
        <w:t>7</w:t>
      </w:r>
      <w:r>
        <w:t xml:space="preserve"> subtypes of </w:t>
      </w:r>
      <w:r>
        <w:rPr>
          <w:rFonts w:hint="eastAsia"/>
        </w:rPr>
        <w:t>t</w:t>
      </w:r>
      <w:r w:rsidRPr="0086556D">
        <w:t>umor microenvironmental</w:t>
      </w:r>
      <w:r w:rsidRPr="009D761E">
        <w:t xml:space="preserve"> cells</w:t>
      </w:r>
      <w:r>
        <w:rPr>
          <w:rFonts w:hint="eastAsia"/>
        </w:rPr>
        <w:t xml:space="preserve"> from TIMER2.0.</w:t>
      </w:r>
    </w:p>
    <w:p w14:paraId="0C9999A8" w14:textId="0007573D" w:rsidR="00B2627A" w:rsidRDefault="00D93B29" w:rsidP="00A34280">
      <w:pPr>
        <w:spacing w:line="480" w:lineRule="auto"/>
        <w:jc w:val="both"/>
        <w:rPr>
          <w:rFonts w:hint="eastAsia"/>
        </w:rPr>
      </w:pPr>
      <w:r w:rsidRPr="00D93B29">
        <w:t xml:space="preserve">Table S1. </w:t>
      </w:r>
      <w:r w:rsidRPr="00D93B29">
        <w:rPr>
          <w:rFonts w:hint="eastAsia"/>
        </w:rPr>
        <w:t>The up and down-regulated DEGs of GSE30587 datasets.</w:t>
      </w:r>
      <w:r>
        <w:rPr>
          <w:rFonts w:hint="eastAsia"/>
        </w:rPr>
        <w:t xml:space="preserve"> </w:t>
      </w:r>
      <w:r w:rsidRPr="00D93B29">
        <w:rPr>
          <w:rFonts w:hint="eastAsia"/>
        </w:rPr>
        <w:t>|logFC|</w:t>
      </w:r>
      <w:r w:rsidRPr="00D93B29">
        <w:rPr>
          <w:rFonts w:hint="eastAsia"/>
        </w:rPr>
        <w:t>＞</w:t>
      </w:r>
      <w:r w:rsidRPr="00D93B29">
        <w:rPr>
          <w:rFonts w:hint="eastAsia"/>
        </w:rPr>
        <w:t>1,</w:t>
      </w:r>
      <w:r w:rsidR="00D22A54">
        <w:rPr>
          <w:rFonts w:hint="eastAsia"/>
        </w:rPr>
        <w:t xml:space="preserve"> </w:t>
      </w:r>
      <w:r w:rsidRPr="00D93B29">
        <w:rPr>
          <w:rFonts w:hint="eastAsia"/>
        </w:rPr>
        <w:t>P.Value</w:t>
      </w:r>
      <w:r w:rsidRPr="00D93B29">
        <w:rPr>
          <w:rFonts w:hint="eastAsia"/>
        </w:rPr>
        <w:t>＜</w:t>
      </w:r>
      <w:r w:rsidRPr="00D93B29">
        <w:rPr>
          <w:rFonts w:hint="eastAsia"/>
        </w:rPr>
        <w:t>0.05.</w:t>
      </w:r>
    </w:p>
    <w:p w14:paraId="09769BD6" w14:textId="39475151" w:rsidR="00D22A54" w:rsidRDefault="00D22A54" w:rsidP="00A34280">
      <w:pPr>
        <w:spacing w:line="480" w:lineRule="auto"/>
        <w:jc w:val="both"/>
        <w:rPr>
          <w:rFonts w:hint="eastAsia"/>
        </w:rPr>
      </w:pPr>
      <w:r w:rsidRPr="00D22A54">
        <w:rPr>
          <w:rFonts w:hint="eastAsia"/>
        </w:rPr>
        <w:lastRenderedPageBreak/>
        <w:t>Table S2. The up and down-regulated DEGs of GSE137237 datasets.</w:t>
      </w:r>
      <w:r>
        <w:rPr>
          <w:rFonts w:hint="eastAsia"/>
        </w:rPr>
        <w:t xml:space="preserve"> </w:t>
      </w:r>
      <w:r w:rsidRPr="00D22A54">
        <w:rPr>
          <w:rFonts w:hint="eastAsia"/>
        </w:rPr>
        <w:t>|logFC|</w:t>
      </w:r>
      <w:r w:rsidRPr="00D22A54">
        <w:rPr>
          <w:rFonts w:hint="eastAsia"/>
        </w:rPr>
        <w:t>＞</w:t>
      </w:r>
      <w:r w:rsidRPr="00D22A54">
        <w:rPr>
          <w:rFonts w:hint="eastAsia"/>
        </w:rPr>
        <w:t>1,</w:t>
      </w:r>
      <w:r>
        <w:rPr>
          <w:rFonts w:hint="eastAsia"/>
        </w:rPr>
        <w:t xml:space="preserve"> </w:t>
      </w:r>
      <w:r w:rsidRPr="00D22A54">
        <w:rPr>
          <w:rFonts w:hint="eastAsia"/>
        </w:rPr>
        <w:t>P.Value</w:t>
      </w:r>
      <w:r w:rsidRPr="00D22A54">
        <w:rPr>
          <w:rFonts w:hint="eastAsia"/>
        </w:rPr>
        <w:t>＜</w:t>
      </w:r>
      <w:r w:rsidRPr="00D22A54">
        <w:rPr>
          <w:rFonts w:hint="eastAsia"/>
        </w:rPr>
        <w:t>0.05.</w:t>
      </w:r>
    </w:p>
    <w:p w14:paraId="6EC1F71A" w14:textId="16C32C88" w:rsidR="00A34280" w:rsidRDefault="00A34280" w:rsidP="00A34280">
      <w:pPr>
        <w:spacing w:line="480" w:lineRule="auto"/>
        <w:jc w:val="both"/>
        <w:rPr>
          <w:rFonts w:hint="eastAsia"/>
        </w:rPr>
      </w:pPr>
      <w:r w:rsidRPr="00A34280">
        <w:rPr>
          <w:rFonts w:hint="eastAsia"/>
        </w:rPr>
        <w:t>Table S3. The up and down-regulated DEGs of GSE98281 datasets.</w:t>
      </w:r>
      <w:r>
        <w:rPr>
          <w:rFonts w:hint="eastAsia"/>
        </w:rPr>
        <w:t xml:space="preserve"> </w:t>
      </w:r>
      <w:r w:rsidRPr="00A34280">
        <w:rPr>
          <w:rFonts w:hint="eastAsia"/>
        </w:rPr>
        <w:t>|logFC|</w:t>
      </w:r>
      <w:r w:rsidRPr="00A34280">
        <w:rPr>
          <w:rFonts w:hint="eastAsia"/>
        </w:rPr>
        <w:t>＞</w:t>
      </w:r>
      <w:r w:rsidRPr="00A34280">
        <w:rPr>
          <w:rFonts w:hint="eastAsia"/>
        </w:rPr>
        <w:t>1,P.Value</w:t>
      </w:r>
      <w:r w:rsidRPr="00A34280">
        <w:rPr>
          <w:rFonts w:hint="eastAsia"/>
        </w:rPr>
        <w:t>＜</w:t>
      </w:r>
      <w:r w:rsidRPr="00A34280">
        <w:rPr>
          <w:rFonts w:hint="eastAsia"/>
        </w:rPr>
        <w:t>0.05.</w:t>
      </w:r>
    </w:p>
    <w:p w14:paraId="589029FB" w14:textId="4E76D9D2" w:rsidR="00A34280" w:rsidRDefault="00A34280" w:rsidP="00A34280">
      <w:pPr>
        <w:spacing w:line="480" w:lineRule="auto"/>
        <w:jc w:val="both"/>
        <w:rPr>
          <w:rFonts w:hint="eastAsia"/>
        </w:rPr>
      </w:pPr>
      <w:r w:rsidRPr="00A34280">
        <w:rPr>
          <w:rFonts w:hint="eastAsia"/>
        </w:rPr>
        <w:t>Table S4. The up and down-regulated DEGs of GSE133296 datasets.</w:t>
      </w:r>
      <w:r>
        <w:rPr>
          <w:rFonts w:hint="eastAsia"/>
        </w:rPr>
        <w:t xml:space="preserve"> </w:t>
      </w:r>
      <w:r w:rsidRPr="00A34280">
        <w:rPr>
          <w:rFonts w:hint="eastAsia"/>
        </w:rPr>
        <w:t>|logFC|</w:t>
      </w:r>
      <w:r w:rsidRPr="00A34280">
        <w:rPr>
          <w:rFonts w:hint="eastAsia"/>
        </w:rPr>
        <w:t>＞</w:t>
      </w:r>
      <w:r w:rsidRPr="00A34280">
        <w:rPr>
          <w:rFonts w:hint="eastAsia"/>
        </w:rPr>
        <w:t>1,P.Value</w:t>
      </w:r>
      <w:r w:rsidRPr="00A34280">
        <w:rPr>
          <w:rFonts w:hint="eastAsia"/>
        </w:rPr>
        <w:t>＜</w:t>
      </w:r>
      <w:r w:rsidRPr="00A34280">
        <w:rPr>
          <w:rFonts w:hint="eastAsia"/>
        </w:rPr>
        <w:t>0.05.</w:t>
      </w:r>
    </w:p>
    <w:p w14:paraId="408F1C0A" w14:textId="0CDC0DD3" w:rsidR="00A34280" w:rsidRDefault="008F7D1B" w:rsidP="00A34280">
      <w:pPr>
        <w:spacing w:line="480" w:lineRule="auto"/>
        <w:jc w:val="both"/>
      </w:pPr>
      <w:r w:rsidRPr="008F7D1B">
        <w:t xml:space="preserve">Supplementary Table 5. GO </w:t>
      </w:r>
      <w:r>
        <w:rPr>
          <w:rFonts w:hint="eastAsia"/>
        </w:rPr>
        <w:t xml:space="preserve">and KEGG </w:t>
      </w:r>
      <w:bookmarkStart w:id="0" w:name="_GoBack"/>
      <w:bookmarkEnd w:id="0"/>
      <w:r w:rsidRPr="008F7D1B">
        <w:t>terms of candidate genes significantly upregulated in MT group</w:t>
      </w:r>
    </w:p>
    <w:sectPr w:rsidR="00A34280" w:rsidSect="00D16901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35"/>
    <w:rsid w:val="00023306"/>
    <w:rsid w:val="0004677B"/>
    <w:rsid w:val="000C0002"/>
    <w:rsid w:val="000E6FD1"/>
    <w:rsid w:val="000F484B"/>
    <w:rsid w:val="00107FDC"/>
    <w:rsid w:val="001255A3"/>
    <w:rsid w:val="00133646"/>
    <w:rsid w:val="001457E5"/>
    <w:rsid w:val="00191248"/>
    <w:rsid w:val="001962FE"/>
    <w:rsid w:val="001A4046"/>
    <w:rsid w:val="001C0495"/>
    <w:rsid w:val="001F6C93"/>
    <w:rsid w:val="00252E0D"/>
    <w:rsid w:val="00255FAF"/>
    <w:rsid w:val="00282267"/>
    <w:rsid w:val="002939B5"/>
    <w:rsid w:val="002A4711"/>
    <w:rsid w:val="002A7ADE"/>
    <w:rsid w:val="002B383B"/>
    <w:rsid w:val="002D3E6A"/>
    <w:rsid w:val="002F3C3A"/>
    <w:rsid w:val="00301F44"/>
    <w:rsid w:val="00365553"/>
    <w:rsid w:val="003666F1"/>
    <w:rsid w:val="00372CCC"/>
    <w:rsid w:val="003A183A"/>
    <w:rsid w:val="003D5E47"/>
    <w:rsid w:val="00417E23"/>
    <w:rsid w:val="00431655"/>
    <w:rsid w:val="004370D4"/>
    <w:rsid w:val="00441C66"/>
    <w:rsid w:val="00446525"/>
    <w:rsid w:val="0045043D"/>
    <w:rsid w:val="004519D9"/>
    <w:rsid w:val="0045732B"/>
    <w:rsid w:val="0048173A"/>
    <w:rsid w:val="004919CC"/>
    <w:rsid w:val="004C0787"/>
    <w:rsid w:val="004E1912"/>
    <w:rsid w:val="0053042A"/>
    <w:rsid w:val="00544F49"/>
    <w:rsid w:val="00583831"/>
    <w:rsid w:val="00592CDF"/>
    <w:rsid w:val="005D1EE1"/>
    <w:rsid w:val="005D624B"/>
    <w:rsid w:val="00622EE6"/>
    <w:rsid w:val="00644A25"/>
    <w:rsid w:val="006A41BE"/>
    <w:rsid w:val="006D5DB2"/>
    <w:rsid w:val="00701B4B"/>
    <w:rsid w:val="00702DAF"/>
    <w:rsid w:val="00714C2C"/>
    <w:rsid w:val="00725D2B"/>
    <w:rsid w:val="0077388F"/>
    <w:rsid w:val="007762AD"/>
    <w:rsid w:val="00787282"/>
    <w:rsid w:val="007B5179"/>
    <w:rsid w:val="007B7436"/>
    <w:rsid w:val="007C38A4"/>
    <w:rsid w:val="007D59F0"/>
    <w:rsid w:val="007D6571"/>
    <w:rsid w:val="00826A00"/>
    <w:rsid w:val="00846E30"/>
    <w:rsid w:val="00852804"/>
    <w:rsid w:val="008B0E4C"/>
    <w:rsid w:val="008C2EFC"/>
    <w:rsid w:val="008C7AF1"/>
    <w:rsid w:val="008D0FA5"/>
    <w:rsid w:val="008D3BB8"/>
    <w:rsid w:val="008F7D1B"/>
    <w:rsid w:val="009112F5"/>
    <w:rsid w:val="00932C21"/>
    <w:rsid w:val="00950DFF"/>
    <w:rsid w:val="009742F9"/>
    <w:rsid w:val="00982688"/>
    <w:rsid w:val="00A13FEC"/>
    <w:rsid w:val="00A15D93"/>
    <w:rsid w:val="00A313D8"/>
    <w:rsid w:val="00A34280"/>
    <w:rsid w:val="00A426D7"/>
    <w:rsid w:val="00A42A3C"/>
    <w:rsid w:val="00A81745"/>
    <w:rsid w:val="00AA62EC"/>
    <w:rsid w:val="00AB7D59"/>
    <w:rsid w:val="00AE4A7A"/>
    <w:rsid w:val="00B03FCE"/>
    <w:rsid w:val="00B05A4A"/>
    <w:rsid w:val="00B06D6A"/>
    <w:rsid w:val="00B253C6"/>
    <w:rsid w:val="00B2627A"/>
    <w:rsid w:val="00B363CF"/>
    <w:rsid w:val="00B60F1B"/>
    <w:rsid w:val="00B72B35"/>
    <w:rsid w:val="00B752CD"/>
    <w:rsid w:val="00B95BF4"/>
    <w:rsid w:val="00BA6156"/>
    <w:rsid w:val="00BB7327"/>
    <w:rsid w:val="00BC748B"/>
    <w:rsid w:val="00BF10A7"/>
    <w:rsid w:val="00C04202"/>
    <w:rsid w:val="00C119AA"/>
    <w:rsid w:val="00CA314C"/>
    <w:rsid w:val="00CC148F"/>
    <w:rsid w:val="00CC4881"/>
    <w:rsid w:val="00CD6C4E"/>
    <w:rsid w:val="00D16901"/>
    <w:rsid w:val="00D22A54"/>
    <w:rsid w:val="00D26A80"/>
    <w:rsid w:val="00D65E3F"/>
    <w:rsid w:val="00D70A44"/>
    <w:rsid w:val="00D8390F"/>
    <w:rsid w:val="00D90178"/>
    <w:rsid w:val="00D9261D"/>
    <w:rsid w:val="00D93B29"/>
    <w:rsid w:val="00DC0C8A"/>
    <w:rsid w:val="00E40B2D"/>
    <w:rsid w:val="00E5155D"/>
    <w:rsid w:val="00E657C7"/>
    <w:rsid w:val="00E72AB8"/>
    <w:rsid w:val="00E91522"/>
    <w:rsid w:val="00EC624F"/>
    <w:rsid w:val="00EE278E"/>
    <w:rsid w:val="00EE4104"/>
    <w:rsid w:val="00F04F8C"/>
    <w:rsid w:val="00F1139A"/>
    <w:rsid w:val="00F323EC"/>
    <w:rsid w:val="00F532B3"/>
    <w:rsid w:val="00F74FE3"/>
    <w:rsid w:val="00FA784E"/>
    <w:rsid w:val="00FC24B8"/>
    <w:rsid w:val="00FC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EF825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72B35"/>
    <w:pPr>
      <w:spacing w:before="120" w:after="240"/>
    </w:pPr>
    <w:rPr>
      <w:rFonts w:ascii="Times New Roman" w:hAnsi="Times New Roman"/>
      <w:kern w:val="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4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958</Characters>
  <Application>Microsoft Macintosh Word</Application>
  <DocSecurity>0</DocSecurity>
  <Lines>7</Lines>
  <Paragraphs>2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2021-05-05T04:18:00Z</dcterms:created>
  <dcterms:modified xsi:type="dcterms:W3CDTF">2021-05-05T04:23:00Z</dcterms:modified>
</cp:coreProperties>
</file>