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6F9AC" w14:textId="77777777" w:rsidR="00D420CD" w:rsidRDefault="00D420CD" w:rsidP="00D420CD">
      <w:pPr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Extended Data</w:t>
      </w:r>
    </w:p>
    <w:p w14:paraId="0B34EB98" w14:textId="77379760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13444D" wp14:editId="64C86780">
            <wp:simplePos x="0" y="0"/>
            <wp:positionH relativeFrom="margin">
              <wp:posOffset>209550</wp:posOffset>
            </wp:positionH>
            <wp:positionV relativeFrom="paragraph">
              <wp:posOffset>161290</wp:posOffset>
            </wp:positionV>
            <wp:extent cx="4497070" cy="337375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37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ECADD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6BF92CF1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513DFD48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522A8401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4416F3D4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3F94E136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4D909C40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3FC70F9A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52AE644E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074AEA9E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017608D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BDFE10D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56C9BC23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144373D8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7ABFD2DF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2C09B810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bookmarkStart w:id="0" w:name="_Hlk66970133"/>
      <w:bookmarkStart w:id="1" w:name="OLE_LINK124"/>
    </w:p>
    <w:p w14:paraId="0BE70BD1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4DC8C1A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66C4DD67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151E1AEC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39BD07C6" w14:textId="296EA78A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Extended Data Fig. 1</w:t>
      </w:r>
      <w:bookmarkEnd w:id="0"/>
      <w:bookmarkEnd w:id="1"/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| Characterization of antibody response induced by </w:t>
      </w:r>
      <w:r>
        <w:rPr>
          <w:rFonts w:ascii="Times New Roman" w:hAnsi="Times New Roman" w:cs="Times New Roman"/>
          <w:b/>
          <w:bCs/>
          <w:sz w:val="24"/>
          <w:szCs w:val="24"/>
        </w:rPr>
        <w:t>SARS-CoV-2 infection. 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ELSIA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binding curves for </w:t>
      </w:r>
      <w:bookmarkStart w:id="2" w:name="OLE_LINK119"/>
      <w:r>
        <w:rPr>
          <w:rFonts w:ascii="Times New Roman" w:hAnsi="Times New Roman" w:cs="Times New Roman"/>
          <w:sz w:val="24"/>
          <w:szCs w:val="24"/>
        </w:rPr>
        <w:t>four COVID-19 convalescent patients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(24, 25, 26 and 28) and two healthy people. Antibody titers was assessed against S-ECD (extracellular domain of S protein) proteins and RBD region of SARS-CoV-2.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The effect of convalescent plasma on the binding of RBD to ACE2.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neutralization curves for </w:t>
      </w:r>
      <w:r>
        <w:rPr>
          <w:rFonts w:ascii="Times New Roman" w:hAnsi="Times New Roman" w:cs="Times New Roman"/>
          <w:sz w:val="24"/>
          <w:szCs w:val="24"/>
        </w:rPr>
        <w:t xml:space="preserve">four COVID-19 convalescent patients (24,25,26 and 28) and two healthy people against SARS-CoVD-2 </w:t>
      </w:r>
      <w:proofErr w:type="spellStart"/>
      <w:r>
        <w:rPr>
          <w:rFonts w:ascii="Times New Roman" w:hAnsi="Times New Roman" w:cs="Times New Roman"/>
          <w:sz w:val="24"/>
          <w:szCs w:val="24"/>
        </w:rPr>
        <w:t>pseudovirus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data represent one representative experiment of two independent experiments.</w:t>
      </w:r>
    </w:p>
    <w:p w14:paraId="23E00F46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65B6A9D3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2B9DE2BD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63103364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7F906F25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6304ED41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4F0EB88B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02CA95D9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30E36825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1F1F23C5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08ABFC42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48F93296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1B1690B1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4BB994DE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2990D5D4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3467DCF0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0F93C280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32995DC6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40AF5463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2145438A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793CDC59" w14:textId="33C9ECDA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2FF75F" wp14:editId="2D0BABC8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5267960" cy="2658745"/>
            <wp:effectExtent l="0" t="0" r="889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E2CA8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1C63F948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425F073D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52A57EF5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32046801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6E16B086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777EED6D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5B676C67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29B6845C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5A008833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6175F101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4ABA376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7AA8F27" w14:textId="3EFB95A5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4A8A079" w14:textId="64213160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8700D89" w14:textId="2DC41C8F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78860FB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542A83A" w14:textId="77777777" w:rsidR="00D420CD" w:rsidRDefault="00D420CD" w:rsidP="00D420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Extended Data Fig. 2 </w:t>
      </w:r>
      <w:r>
        <w:rPr>
          <w:rFonts w:ascii="Times New Roman" w:eastAsia="Whitney-Bold" w:hAnsi="Times New Roman" w:cs="Times New Roman"/>
          <w:b/>
          <w:bCs/>
          <w:kern w:val="0"/>
          <w:sz w:val="24"/>
          <w:szCs w:val="24"/>
        </w:rPr>
        <w:t xml:space="preserve">|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Crossing binding and neutralizing activities of 28-26K, 25-F7 and 25-D9.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a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</w:rPr>
        <w:t xml:space="preserve"> binding curves of </w:t>
      </w:r>
      <w:r>
        <w:rPr>
          <w:rFonts w:ascii="Times New Roman" w:hAnsi="Times New Roman" w:cs="Times New Roman"/>
          <w:sz w:val="24"/>
          <w:szCs w:val="24"/>
        </w:rPr>
        <w:t>28-26K, 25-F7 and 25-D9 to SARS-CoV-2 RBD (left) and SARS-</w:t>
      </w:r>
      <w:proofErr w:type="spellStart"/>
      <w:r>
        <w:rPr>
          <w:rFonts w:ascii="Times New Roman" w:hAnsi="Times New Roman" w:cs="Times New Roman"/>
          <w:sz w:val="24"/>
          <w:szCs w:val="24"/>
        </w:rPr>
        <w:t>CoV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RBD (right) are shown. The data was shown as </w:t>
      </w:r>
      <w:proofErr w:type="spellStart"/>
      <w:r>
        <w:rPr>
          <w:rFonts w:ascii="Times New Roman" w:hAnsi="Times New Roman" w:cs="Times New Roman"/>
          <w:sz w:val="24"/>
          <w:szCs w:val="24"/>
        </w:rPr>
        <w:t>mean±SD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 w:val="24"/>
          <w:szCs w:val="24"/>
        </w:rPr>
        <w:t xml:space="preserve"> neutralization curves for </w:t>
      </w:r>
      <w:r>
        <w:rPr>
          <w:rFonts w:ascii="Times New Roman" w:hAnsi="Times New Roman" w:cs="Times New Roman"/>
          <w:sz w:val="24"/>
          <w:szCs w:val="24"/>
        </w:rPr>
        <w:t>28-26K, 25-F7 and 25-D9 against SARS-CoV-2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pseudo-virus (left) and SARS-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pseudo-virus (right).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>, ACE2 receptor blocking activity of 28-26K, 25-F7 and 25-D9. Left, SARS-CoV-2 RBD; right, SARS-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RBD.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The neutralizing activity of </w:t>
      </w:r>
      <w:r>
        <w:rPr>
          <w:rFonts w:ascii="Times New Roman" w:hAnsi="Times New Roman" w:cs="Times New Roman"/>
          <w:sz w:val="24"/>
          <w:szCs w:val="24"/>
        </w:rPr>
        <w:t xml:space="preserve">28-26K, 25-F7 and 25-D9 against SARS-CoV-2 authentic virus. Three previously described S309, CR3022, and 28-8L were used as control. For </w:t>
      </w:r>
      <w:r>
        <w:rPr>
          <w:rFonts w:ascii="Times New Roman" w:hAnsi="Times New Roman" w:cs="Times New Roman"/>
          <w:b/>
          <w:bCs/>
          <w:sz w:val="24"/>
          <w:szCs w:val="24"/>
        </w:rPr>
        <w:t>a-d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values shown are the means of triplicate. The curves were fit by nonlinear regression in </w:t>
      </w:r>
      <w:proofErr w:type="spellStart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>Graphpad</w:t>
      </w:r>
      <w:proofErr w:type="spellEnd"/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Prism.</w:t>
      </w:r>
    </w:p>
    <w:p w14:paraId="193CA9D7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74C5ED1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7DE5D3A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8AB6A18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311BD09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A8DE374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05BA32C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68F9425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D331C05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CC6B7B8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E82E7C1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F01D61D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480123F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048AA2B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8C2F6F6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A890A58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65E96AE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5C75A58" w14:textId="02271D3D" w:rsidR="00D420CD" w:rsidRDefault="00D420CD" w:rsidP="00D420CD">
      <w:pPr>
        <w:ind w:firstLineChars="400" w:firstLine="84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431B03B" wp14:editId="0B7E2A3D">
            <wp:simplePos x="0" y="0"/>
            <wp:positionH relativeFrom="margin">
              <wp:posOffset>201295</wp:posOffset>
            </wp:positionH>
            <wp:positionV relativeFrom="paragraph">
              <wp:posOffset>31115</wp:posOffset>
            </wp:positionV>
            <wp:extent cx="5269230" cy="486156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8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1A03C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9CCF576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26F19DA4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E395407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85953E8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5F4AA12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62D56A0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460E2B0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3E53401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B0901CC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396DD7A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DBB8096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D40F093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F5A41CC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49AF579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7C7C593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5F36F18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6F9CBA0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805A625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BC3BE5F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F6B0FB0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2945B03A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1865A03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A382717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41FC5EC" w14:textId="77777777" w:rsidR="00D420CD" w:rsidRDefault="00D420CD" w:rsidP="00D420CD">
      <w:pPr>
        <w:spacing w:line="36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BDDF2FE" w14:textId="77777777" w:rsidR="00D420CD" w:rsidRDefault="00D420CD" w:rsidP="00D420CD">
      <w:pPr>
        <w:spacing w:line="36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8D41035" w14:textId="77777777" w:rsidR="00D420CD" w:rsidRDefault="00D420CD" w:rsidP="00D420CD">
      <w:pPr>
        <w:spacing w:line="36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7407CE3" w14:textId="1CBFE580" w:rsidR="00D420CD" w:rsidRDefault="00D420CD" w:rsidP="00D420C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Extended Data Fig. 3 | Common features of VH3-53/3-56 </w:t>
      </w:r>
      <w:proofErr w:type="spellStart"/>
      <w:r>
        <w:rPr>
          <w:rFonts w:ascii="Times New Roman" w:eastAsia="SimSun" w:hAnsi="Times New Roman" w:cs="Times New Roman"/>
          <w:b/>
          <w:bCs/>
          <w:sz w:val="24"/>
          <w:szCs w:val="24"/>
        </w:rPr>
        <w:t>NAbs</w:t>
      </w:r>
      <w:proofErr w:type="spellEnd"/>
      <w:r>
        <w:rPr>
          <w:rFonts w:ascii="Times New Roman" w:eastAsia="SimSun" w:hAnsi="Times New Roman" w:cs="Times New Roman"/>
          <w:b/>
          <w:bCs/>
          <w:sz w:val="24"/>
          <w:szCs w:val="24"/>
        </w:rPr>
        <w:t>. 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231F20"/>
          <w:sz w:val="24"/>
          <w:szCs w:val="24"/>
        </w:rPr>
        <w:t>Alignment of the VH amino acid sequences of 3-53/3-56 with its germline configuration.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The CDR regions are highlighted in grey. Dots indicate identical residues; Somatic mutations are shown.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b</w:t>
      </w:r>
      <w:r>
        <w:rPr>
          <w:rFonts w:ascii="Times New Roman" w:hAnsi="Times New Roman" w:cs="Times New Roman"/>
          <w:bCs/>
          <w:color w:val="231F20"/>
          <w:sz w:val="24"/>
          <w:szCs w:val="24"/>
        </w:rPr>
        <w:t>,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Structural alignment of CB6 and B38 binding with RBD. </w:t>
      </w:r>
      <w:r>
        <w:rPr>
          <w:rFonts w:ascii="Times New Roman" w:eastAsia="DengXian" w:hAnsi="Times New Roman" w:cs="Times New Roman"/>
          <w:color w:val="000000"/>
          <w:sz w:val="24"/>
          <w:szCs w:val="24"/>
        </w:rPr>
        <w:t>CB6-RBD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complex (PDB ID: 7C01) is superimposed on B38- RBD (PDB ID: 7BZ5). CB6-RBD complex: magenta, CB6 VH; violet, CB6 VL; Light pink, RBD. B38-RBD complex: cyan, B38 VH; pale cyan; RBD, grey. Key residues on RBD highlighted in orange sticks.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Polar interactions are indicated by yellow dashed lines.</w:t>
      </w:r>
    </w:p>
    <w:p w14:paraId="30040102" w14:textId="1007E970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A932895" w14:textId="1A88AD21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8668C08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24A77CD3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2EAAC91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FEAE32E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11A57DE" w14:textId="05A6D336" w:rsidR="00D420CD" w:rsidRDefault="00D420CD" w:rsidP="00D420CD">
      <w:pPr>
        <w:ind w:firstLineChars="400" w:firstLine="84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42B488" wp14:editId="266ED9D0">
            <wp:simplePos x="0" y="0"/>
            <wp:positionH relativeFrom="margin">
              <wp:posOffset>196850</wp:posOffset>
            </wp:positionH>
            <wp:positionV relativeFrom="paragraph">
              <wp:posOffset>153670</wp:posOffset>
            </wp:positionV>
            <wp:extent cx="5270500" cy="5898515"/>
            <wp:effectExtent l="0" t="0" r="635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89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9CFAB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F909BDF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9B8C886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0F1A919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1F11DEB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A158156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60F863A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C9D4293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80FE3A3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49C9CB6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734CA4E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F420A85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39A77A4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7ECBAED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FCBE29A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BC0F2E2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4327FC6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05CA732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D8701F4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F62D0D8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CF2DB31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BCFAFDB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99A4237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2DEB3A22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421F176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538FDCF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66D9BAE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5FA45DD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D571F75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25E7BD5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0B2B735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01B423A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01CA6D7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4DB32BAB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DF76B3D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DC17A49" w14:textId="6D9F2911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Extended data Fig. 4 | Conservation of RBD residues. </w:t>
      </w:r>
    </w:p>
    <w:p w14:paraId="327D2F8B" w14:textId="77777777" w:rsidR="00D420CD" w:rsidRDefault="00D420CD" w:rsidP="00D420CD">
      <w:pPr>
        <w:widowControl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SARS-CoV-2 genome sequences (n=364,409) retrieved from GISAID and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Genbank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January 19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2021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(n=11,839) were used to annotate variants of the spike glycoprotein.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3272 mutations had been identified in the S gene of SARS-CoV-2 isolated from humans (CNCB-NGDC, 2021; GISAID, 2021). These mutations lead to 1961 amino acid changes, including 259 substitutions in the RBD region.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eastAsia="SimSu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SimSun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Variants are plotted by amino acid position. Each dot is a distinct variant. Color encodes four antigenic sites. Variants are labeled if their prevalence is greater than 1%.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b,</w:t>
      </w:r>
      <w:r>
        <w:rPr>
          <w:rFonts w:ascii="Times New Roman" w:eastAsia="SimSun" w:hAnsi="Times New Roman" w:cs="Times New Roman"/>
          <w:sz w:val="24"/>
          <w:szCs w:val="24"/>
        </w:rPr>
        <w:t xml:space="preserve"> Variability at neutralizing antibody binding residues. “+++++” means &gt; 1%; “++++” means 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0.1-1%; “+++” 0.01-0.1%; “++” 0.001-0.01; “+” means 0.0001-0.001; “-” means no </w:t>
      </w:r>
      <w:proofErr w:type="spellStart"/>
      <w:r>
        <w:rPr>
          <w:rFonts w:ascii="Times New Roman" w:eastAsia="SimSun" w:hAnsi="Times New Roman" w:cs="Times New Roman"/>
          <w:kern w:val="0"/>
          <w:sz w:val="24"/>
          <w:szCs w:val="24"/>
        </w:rPr>
        <w:t>varation</w:t>
      </w:r>
      <w:proofErr w:type="spellEnd"/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. “&gt;”, more; </w:t>
      </w:r>
      <w:r>
        <w:rPr>
          <w:rFonts w:ascii="Times New Roman" w:eastAsia="SimSun" w:hAnsi="Times New Roman" w:cs="Times New Roman"/>
          <w:sz w:val="24"/>
          <w:szCs w:val="24"/>
        </w:rPr>
        <w:t>“/”, comparable.</w:t>
      </w:r>
    </w:p>
    <w:p w14:paraId="0795A611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31080FE" w14:textId="77777777" w:rsidR="00D420CD" w:rsidRDefault="00D420CD" w:rsidP="00D420CD">
      <w:pPr>
        <w:ind w:firstLineChars="400" w:firstLine="964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25A523DF" w14:textId="77777777" w:rsidR="00D420CD" w:rsidRDefault="00D420CD" w:rsidP="00D420CD">
      <w:pPr>
        <w:ind w:firstLineChars="350" w:firstLine="843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E5D39D5" w14:textId="77777777" w:rsidR="00D420CD" w:rsidRDefault="00D420CD" w:rsidP="00D420CD">
      <w:pPr>
        <w:ind w:firstLineChars="350" w:firstLine="843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7B314731" w14:textId="4B5DF3C2" w:rsidR="00D420CD" w:rsidRDefault="00D420CD" w:rsidP="00D420CD">
      <w:pPr>
        <w:ind w:firstLineChars="350" w:firstLine="843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Extended data Table 1 </w:t>
      </w:r>
      <w:bookmarkStart w:id="3" w:name="OLE_LINK46"/>
      <w:r>
        <w:rPr>
          <w:rFonts w:ascii="Times New Roman" w:eastAsia="SimSun" w:hAnsi="Times New Roman" w:cs="Times New Roman"/>
          <w:b/>
          <w:bCs/>
          <w:sz w:val="24"/>
          <w:szCs w:val="24"/>
        </w:rPr>
        <w:t>|</w:t>
      </w:r>
      <w:bookmarkEnd w:id="3"/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Antibody gene usage for selected </w:t>
      </w:r>
      <w:proofErr w:type="spellStart"/>
      <w:r>
        <w:rPr>
          <w:rFonts w:ascii="Times New Roman" w:eastAsia="SimSun" w:hAnsi="Times New Roman" w:cs="Times New Roman"/>
          <w:b/>
          <w:bCs/>
          <w:sz w:val="24"/>
          <w:szCs w:val="24"/>
        </w:rPr>
        <w:t>NAbs</w:t>
      </w:r>
      <w:proofErr w:type="spellEnd"/>
      <w:r>
        <w:rPr>
          <w:rFonts w:ascii="Times New Roman" w:eastAsia="SimSun" w:hAnsi="Times New Roman" w:cs="Times New Roman"/>
          <w:b/>
          <w:bCs/>
          <w:sz w:val="24"/>
          <w:szCs w:val="24"/>
        </w:rPr>
        <w:t>.</w:t>
      </w:r>
    </w:p>
    <w:p w14:paraId="2C852879" w14:textId="77777777" w:rsidR="00D420CD" w:rsidRDefault="00D420CD" w:rsidP="00D420CD">
      <w:pPr>
        <w:ind w:firstLineChars="400" w:firstLine="840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object w:dxaOrig="1440" w:dyaOrig="1440" w14:anchorId="47148A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pt;margin-top:3.8pt;width:336pt;height:193.15pt;z-index:251658240;mso-width-relative:page;mso-height-relative:page">
            <v:imagedata r:id="rId8" o:title=""/>
          </v:shape>
          <o:OLEObject Type="Embed" ProgID="Excel.Sheet.12" ShapeID="_x0000_s1026" DrawAspect="Content" ObjectID="_1681806462" r:id="rId9"/>
        </w:object>
      </w:r>
    </w:p>
    <w:p w14:paraId="0B6E8599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2A07F7AE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0EB5916D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6698B373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0B292D1B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45B40E9E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27A1AAE0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0025274D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2C6152DF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2CB4FAB3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3602640B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14C4CA9F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2441A109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13A065D3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3C61FFF7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5C9DFA52" w14:textId="0B6F000F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mAbs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are grouped based on </w:t>
      </w:r>
      <w:r>
        <w:rPr>
          <w:rFonts w:ascii="Times New Roman" w:hAnsi="Times New Roman" w:cs="Times New Roman"/>
          <w:color w:val="000000"/>
          <w:sz w:val="24"/>
          <w:szCs w:val="24"/>
        </w:rPr>
        <w:t>competitive binding experiments</w:t>
      </w:r>
      <w:r>
        <w:rPr>
          <w:rFonts w:ascii="Times New Roman" w:hAnsi="Times New Roman" w:cs="Times New Roman"/>
          <w:kern w:val="0"/>
          <w:sz w:val="24"/>
          <w:szCs w:val="24"/>
        </w:rPr>
        <w:t>. The lineage analysis and the percent identity for each predicted gene usage based on IMGT/VQUEST predictions. VH, heavy chain variable region gene; JH, heavy chain joining region gene; VL, light chain variable region gene; JL, light chain joining region gene.</w:t>
      </w:r>
    </w:p>
    <w:p w14:paraId="3398FD59" w14:textId="77777777" w:rsidR="00D420CD" w:rsidRDefault="00D420CD" w:rsidP="00D420CD">
      <w:pPr>
        <w:autoSpaceDE w:val="0"/>
        <w:autoSpaceDN w:val="0"/>
        <w:adjustRightInd w:val="0"/>
        <w:ind w:leftChars="50" w:left="105"/>
        <w:rPr>
          <w:rFonts w:ascii="Times New Roman" w:hAnsi="Times New Roman" w:cs="Times New Roman"/>
          <w:kern w:val="0"/>
          <w:sz w:val="24"/>
          <w:szCs w:val="24"/>
        </w:rPr>
      </w:pPr>
    </w:p>
    <w:p w14:paraId="0F3C05D8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0CB8E007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2B7714A2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125F4526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6BEC826B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6B5424E0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161795B2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21D68BEF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3EC30121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5A0F1665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0FDAFE81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5F625E39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5BC595DC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4612FB01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61342649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28AD9EF4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27B7C7B7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50757F7C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46A8A73E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4F24BE47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4FA491F1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777FB6D2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7995822F" w14:textId="77777777" w:rsidR="00D420CD" w:rsidRDefault="00D420CD" w:rsidP="00D420CD">
      <w:pPr>
        <w:rPr>
          <w:rFonts w:ascii="Times New Roman" w:eastAsia="SimSun" w:hAnsi="Times New Roman" w:cs="Times New Roman"/>
          <w:sz w:val="24"/>
          <w:szCs w:val="24"/>
        </w:rPr>
      </w:pPr>
    </w:p>
    <w:p w14:paraId="77B0347D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b/>
          <w:bCs/>
          <w:sz w:val="24"/>
          <w:szCs w:val="24"/>
        </w:rPr>
      </w:pPr>
      <w:bookmarkStart w:id="4" w:name="OLE_LINK132"/>
      <w:bookmarkStart w:id="5" w:name="_Hlk66970073"/>
      <w:bookmarkStart w:id="6" w:name="OLE_LINK126"/>
    </w:p>
    <w:p w14:paraId="3DDAA382" w14:textId="77777777" w:rsidR="00D420CD" w:rsidRDefault="00D420CD" w:rsidP="00D420CD">
      <w:pPr>
        <w:autoSpaceDE w:val="0"/>
        <w:autoSpaceDN w:val="0"/>
        <w:adjustRightInd w:val="0"/>
        <w:ind w:leftChars="50" w:left="346" w:hangingChars="100" w:hanging="241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7BF9510" w14:textId="77777777" w:rsidR="00D420CD" w:rsidRDefault="00D420CD" w:rsidP="00D420CD">
      <w:pPr>
        <w:autoSpaceDE w:val="0"/>
        <w:autoSpaceDN w:val="0"/>
        <w:adjustRightInd w:val="0"/>
        <w:ind w:leftChars="150" w:left="31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Extended Data Table 2</w:t>
      </w:r>
      <w:bookmarkEnd w:id="4"/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bookmarkEnd w:id="5"/>
      <w:r>
        <w:rPr>
          <w:rFonts w:ascii="Times New Roman" w:eastAsia="SimSun" w:hAnsi="Times New Roman" w:cs="Times New Roman"/>
          <w:b/>
          <w:bCs/>
          <w:sz w:val="24"/>
          <w:szCs w:val="24"/>
        </w:rPr>
        <w:t>|</w:t>
      </w:r>
      <w:bookmarkEnd w:id="6"/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The alanine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 xml:space="preserve"> mutations resulted in less than 50% binding to the panel of conformation-dependent RBD-specific antibodies and ACE2 when analyzed by ELISA.</w:t>
      </w:r>
    </w:p>
    <w:p w14:paraId="5BC62A54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5C52B61A" w14:textId="4C1621D6" w:rsidR="00D420CD" w:rsidRDefault="00D420CD" w:rsidP="00D420CD">
      <w:pPr>
        <w:ind w:firstLineChars="200" w:firstLine="420"/>
        <w:rPr>
          <w:rFonts w:ascii="Times New Roman" w:eastAsia="SimSu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2028BB" wp14:editId="44CB736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274310" cy="5039995"/>
            <wp:effectExtent l="0" t="0" r="254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0D843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431573DB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290A7998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11E77850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77FF6276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1B713B0F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61F38165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55B7DC74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0991230A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1FF9E265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506EF32A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4B736E1F" w14:textId="77777777" w:rsidR="00D420CD" w:rsidRDefault="00D420CD" w:rsidP="00D420CD">
      <w:pPr>
        <w:ind w:firstLineChars="200" w:firstLine="480"/>
        <w:rPr>
          <w:rFonts w:ascii="Times New Roman" w:eastAsia="SimSun" w:hAnsi="Times New Roman" w:cs="Times New Roman"/>
          <w:sz w:val="24"/>
          <w:szCs w:val="24"/>
        </w:rPr>
      </w:pPr>
    </w:p>
    <w:p w14:paraId="26546944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0F570C8E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19895591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44A45512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6F60729F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621A2ADB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20EAFF62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725414B0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1EAA85B9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0ED8BF56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2C30F167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6CA9C7DE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bookmarkStart w:id="7" w:name="_Hlk68601771"/>
    </w:p>
    <w:p w14:paraId="48658C7B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14:paraId="7ACB15D5" w14:textId="77777777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Coloring corresponds to the reactivity to each RBD mutant with </w:t>
      </w:r>
      <w:r>
        <w:rPr>
          <w:rFonts w:ascii="Times New Roman" w:eastAsia="ArialMT-Identity-H" w:hAnsi="Times New Roman" w:cs="Times New Roman"/>
          <w:kern w:val="0"/>
          <w:sz w:val="24"/>
          <w:szCs w:val="24"/>
        </w:rPr>
        <w:t xml:space="preserve">&lt;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30% dark orange, 30±70% light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salmonand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ArialMT-Identity-H" w:hAnsi="Times New Roman" w:cs="Times New Roman"/>
          <w:kern w:val="0"/>
          <w:sz w:val="24"/>
          <w:szCs w:val="24"/>
        </w:rPr>
        <w:t xml:space="preserve">&gt;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70% white. Residues located in the core region are highlighted in green; in the RBM region are highlighted in cyan. Anti- His tag was used to verify the expression level. </w:t>
      </w:r>
    </w:p>
    <w:bookmarkEnd w:id="7"/>
    <w:p w14:paraId="42AD5871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5D63B542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4D3EAB68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2F3A9AD8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6F17EF8B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2E10FEDA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3F3D9185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AFBB4A4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1E402562" w14:textId="380460A0" w:rsidR="00D420CD" w:rsidRDefault="00D420CD" w:rsidP="00D420CD">
      <w:pPr>
        <w:autoSpaceDE w:val="0"/>
        <w:autoSpaceDN w:val="0"/>
        <w:adjustRightInd w:val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>Extended Data Table 3 |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Plasma samples from 9 individuals were screened by S-ECD and RBD binding titer and neutralizing titer against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SARS-CoV-2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pseudovirus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</w:p>
    <w:p w14:paraId="7102BA2D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644B5F24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705A0C3B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5562A7D3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1049E2BF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0F478B50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259F74CE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40D0A856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0F41F20F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62EC5FE2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7DE6C95A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136801FB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399BD397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6FED0853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0D5E01E3" w14:textId="77777777" w:rsidR="00D420CD" w:rsidRDefault="00D420CD" w:rsidP="00D420CD">
      <w:pPr>
        <w:autoSpaceDE w:val="0"/>
        <w:autoSpaceDN w:val="0"/>
        <w:adjustRightInd w:val="0"/>
        <w:rPr>
          <w:rFonts w:ascii="Times New Roman" w:eastAsia="SimSun" w:hAnsi="Times New Roman" w:cs="Times New Roman"/>
          <w:sz w:val="24"/>
          <w:szCs w:val="24"/>
        </w:rPr>
      </w:pPr>
    </w:p>
    <w:p w14:paraId="682FD33D" w14:textId="77777777" w:rsidR="00D420CD" w:rsidRDefault="00D420CD" w:rsidP="00D420CD">
      <w:pPr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page" w:tblpX="2505" w:tblpY="2559"/>
        <w:tblW w:w="5626" w:type="dxa"/>
        <w:tblLook w:val="04A0" w:firstRow="1" w:lastRow="0" w:firstColumn="1" w:lastColumn="0" w:noHBand="0" w:noVBand="1"/>
      </w:tblPr>
      <w:tblGrid>
        <w:gridCol w:w="1214"/>
        <w:gridCol w:w="1103"/>
        <w:gridCol w:w="1103"/>
        <w:gridCol w:w="1103"/>
        <w:gridCol w:w="1103"/>
      </w:tblGrid>
      <w:tr w:rsidR="00D420CD" w14:paraId="56CA9382" w14:textId="77777777" w:rsidTr="00D420CD">
        <w:trPr>
          <w:trHeight w:val="314"/>
        </w:trPr>
        <w:tc>
          <w:tcPr>
            <w:tcW w:w="121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C7C36C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Plasma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A0CE2A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Ab titer 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12097D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BT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bscript"/>
              </w:rPr>
              <w:t>50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02A6EC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NT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bscript"/>
              </w:rPr>
              <w:t xml:space="preserve">50 </w:t>
            </w:r>
          </w:p>
        </w:tc>
      </w:tr>
      <w:tr w:rsidR="00D420CD" w14:paraId="28942055" w14:textId="77777777" w:rsidTr="00D420CD">
        <w:trPr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89D205" w14:textId="77777777" w:rsidR="00D420CD" w:rsidRDefault="00D420C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4AE3F5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S-ECD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17F530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RBD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25FB59" w14:textId="77777777" w:rsidR="00D420CD" w:rsidRDefault="00D420C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282EB2" w14:textId="77777777" w:rsidR="00D420CD" w:rsidRDefault="00D420CD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D420CD" w14:paraId="08009DC6" w14:textId="77777777" w:rsidTr="00D420CD">
        <w:trPr>
          <w:trHeight w:val="302"/>
        </w:trPr>
        <w:tc>
          <w:tcPr>
            <w:tcW w:w="1214" w:type="dxa"/>
            <w:noWrap/>
            <w:vAlign w:val="center"/>
            <w:hideMark/>
          </w:tcPr>
          <w:p w14:paraId="55A92329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103" w:type="dxa"/>
            <w:noWrap/>
            <w:vAlign w:val="center"/>
            <w:hideMark/>
          </w:tcPr>
          <w:p w14:paraId="54B6C445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3645 </w:t>
            </w:r>
          </w:p>
        </w:tc>
        <w:tc>
          <w:tcPr>
            <w:tcW w:w="1103" w:type="dxa"/>
            <w:noWrap/>
            <w:vAlign w:val="center"/>
            <w:hideMark/>
          </w:tcPr>
          <w:p w14:paraId="029465E2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1215 </w:t>
            </w:r>
          </w:p>
        </w:tc>
        <w:tc>
          <w:tcPr>
            <w:tcW w:w="1103" w:type="dxa"/>
            <w:noWrap/>
            <w:vAlign w:val="center"/>
            <w:hideMark/>
          </w:tcPr>
          <w:p w14:paraId="12154846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5854 </w:t>
            </w:r>
          </w:p>
        </w:tc>
        <w:tc>
          <w:tcPr>
            <w:tcW w:w="1103" w:type="dxa"/>
            <w:noWrap/>
            <w:vAlign w:val="center"/>
            <w:hideMark/>
          </w:tcPr>
          <w:p w14:paraId="55826F9C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7118 </w:t>
            </w:r>
          </w:p>
        </w:tc>
      </w:tr>
      <w:tr w:rsidR="00D420CD" w14:paraId="24812B8F" w14:textId="77777777" w:rsidTr="00D420CD">
        <w:trPr>
          <w:trHeight w:val="302"/>
        </w:trPr>
        <w:tc>
          <w:tcPr>
            <w:tcW w:w="1214" w:type="dxa"/>
            <w:noWrap/>
            <w:vAlign w:val="center"/>
            <w:hideMark/>
          </w:tcPr>
          <w:p w14:paraId="1AB17033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103" w:type="dxa"/>
            <w:noWrap/>
            <w:vAlign w:val="center"/>
            <w:hideMark/>
          </w:tcPr>
          <w:p w14:paraId="242A2201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1215 </w:t>
            </w:r>
          </w:p>
        </w:tc>
        <w:tc>
          <w:tcPr>
            <w:tcW w:w="1103" w:type="dxa"/>
            <w:noWrap/>
            <w:vAlign w:val="center"/>
            <w:hideMark/>
          </w:tcPr>
          <w:p w14:paraId="7F675328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405 </w:t>
            </w:r>
          </w:p>
        </w:tc>
        <w:tc>
          <w:tcPr>
            <w:tcW w:w="1103" w:type="dxa"/>
            <w:noWrap/>
            <w:vAlign w:val="center"/>
            <w:hideMark/>
          </w:tcPr>
          <w:p w14:paraId="39EE1AB8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874 </w:t>
            </w:r>
          </w:p>
        </w:tc>
        <w:tc>
          <w:tcPr>
            <w:tcW w:w="1103" w:type="dxa"/>
            <w:noWrap/>
            <w:vAlign w:val="center"/>
            <w:hideMark/>
          </w:tcPr>
          <w:p w14:paraId="7E83E1FA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1758 </w:t>
            </w:r>
          </w:p>
        </w:tc>
      </w:tr>
      <w:tr w:rsidR="00D420CD" w14:paraId="4277B131" w14:textId="77777777" w:rsidTr="00D420CD">
        <w:trPr>
          <w:trHeight w:val="302"/>
        </w:trPr>
        <w:tc>
          <w:tcPr>
            <w:tcW w:w="1214" w:type="dxa"/>
            <w:noWrap/>
            <w:vAlign w:val="center"/>
            <w:hideMark/>
          </w:tcPr>
          <w:p w14:paraId="0A70CA9E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103" w:type="dxa"/>
            <w:noWrap/>
            <w:vAlign w:val="center"/>
            <w:hideMark/>
          </w:tcPr>
          <w:p w14:paraId="2419D5AF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3645 </w:t>
            </w:r>
          </w:p>
        </w:tc>
        <w:tc>
          <w:tcPr>
            <w:tcW w:w="1103" w:type="dxa"/>
            <w:noWrap/>
            <w:vAlign w:val="center"/>
            <w:hideMark/>
          </w:tcPr>
          <w:p w14:paraId="0E275C97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1215 </w:t>
            </w:r>
          </w:p>
        </w:tc>
        <w:tc>
          <w:tcPr>
            <w:tcW w:w="1103" w:type="dxa"/>
            <w:noWrap/>
            <w:vAlign w:val="center"/>
            <w:hideMark/>
          </w:tcPr>
          <w:p w14:paraId="1717C14F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1010 </w:t>
            </w:r>
          </w:p>
        </w:tc>
        <w:tc>
          <w:tcPr>
            <w:tcW w:w="1103" w:type="dxa"/>
            <w:noWrap/>
            <w:vAlign w:val="center"/>
            <w:hideMark/>
          </w:tcPr>
          <w:p w14:paraId="055FACE0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2521 </w:t>
            </w:r>
          </w:p>
        </w:tc>
      </w:tr>
      <w:tr w:rsidR="00D420CD" w14:paraId="63871D40" w14:textId="77777777" w:rsidTr="00D420CD">
        <w:trPr>
          <w:trHeight w:val="302"/>
        </w:trPr>
        <w:tc>
          <w:tcPr>
            <w:tcW w:w="1214" w:type="dxa"/>
            <w:noWrap/>
            <w:vAlign w:val="center"/>
            <w:hideMark/>
          </w:tcPr>
          <w:p w14:paraId="04D577E6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103" w:type="dxa"/>
            <w:noWrap/>
            <w:vAlign w:val="center"/>
            <w:hideMark/>
          </w:tcPr>
          <w:p w14:paraId="0C6576E5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3645 </w:t>
            </w:r>
          </w:p>
        </w:tc>
        <w:tc>
          <w:tcPr>
            <w:tcW w:w="1103" w:type="dxa"/>
            <w:noWrap/>
            <w:vAlign w:val="center"/>
            <w:hideMark/>
          </w:tcPr>
          <w:p w14:paraId="2B8ED57B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1215 </w:t>
            </w:r>
          </w:p>
        </w:tc>
        <w:tc>
          <w:tcPr>
            <w:tcW w:w="1103" w:type="dxa"/>
            <w:noWrap/>
            <w:vAlign w:val="center"/>
            <w:hideMark/>
          </w:tcPr>
          <w:p w14:paraId="21A0A28E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3661 </w:t>
            </w:r>
          </w:p>
        </w:tc>
        <w:tc>
          <w:tcPr>
            <w:tcW w:w="1103" w:type="dxa"/>
            <w:noWrap/>
            <w:vAlign w:val="center"/>
            <w:hideMark/>
          </w:tcPr>
          <w:p w14:paraId="2A88F761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6128 </w:t>
            </w:r>
          </w:p>
        </w:tc>
      </w:tr>
      <w:tr w:rsidR="00D420CD" w14:paraId="72F4F67F" w14:textId="77777777" w:rsidTr="00D420CD">
        <w:trPr>
          <w:trHeight w:val="66"/>
        </w:trPr>
        <w:tc>
          <w:tcPr>
            <w:tcW w:w="1214" w:type="dxa"/>
            <w:noWrap/>
            <w:vAlign w:val="center"/>
            <w:hideMark/>
          </w:tcPr>
          <w:p w14:paraId="517A185C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103" w:type="dxa"/>
            <w:noWrap/>
            <w:vAlign w:val="center"/>
            <w:hideMark/>
          </w:tcPr>
          <w:p w14:paraId="540561C7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3645 </w:t>
            </w:r>
          </w:p>
        </w:tc>
        <w:tc>
          <w:tcPr>
            <w:tcW w:w="1103" w:type="dxa"/>
            <w:noWrap/>
            <w:vAlign w:val="center"/>
            <w:hideMark/>
          </w:tcPr>
          <w:p w14:paraId="6D84FFC2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1215 </w:t>
            </w:r>
          </w:p>
        </w:tc>
        <w:tc>
          <w:tcPr>
            <w:tcW w:w="1103" w:type="dxa"/>
            <w:noWrap/>
            <w:vAlign w:val="center"/>
            <w:hideMark/>
          </w:tcPr>
          <w:p w14:paraId="2254A7F8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2138 </w:t>
            </w:r>
          </w:p>
        </w:tc>
        <w:tc>
          <w:tcPr>
            <w:tcW w:w="1103" w:type="dxa"/>
            <w:noWrap/>
            <w:vAlign w:val="center"/>
            <w:hideMark/>
          </w:tcPr>
          <w:p w14:paraId="24BC9D8D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4326 </w:t>
            </w:r>
          </w:p>
        </w:tc>
      </w:tr>
      <w:tr w:rsidR="00D420CD" w14:paraId="56526938" w14:textId="77777777" w:rsidTr="00D420CD">
        <w:trPr>
          <w:trHeight w:val="302"/>
        </w:trPr>
        <w:tc>
          <w:tcPr>
            <w:tcW w:w="1214" w:type="dxa"/>
            <w:noWrap/>
            <w:vAlign w:val="center"/>
            <w:hideMark/>
          </w:tcPr>
          <w:p w14:paraId="3AA162E5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103" w:type="dxa"/>
            <w:noWrap/>
            <w:vAlign w:val="center"/>
            <w:hideMark/>
          </w:tcPr>
          <w:p w14:paraId="5C5BAF4D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3645 </w:t>
            </w:r>
          </w:p>
        </w:tc>
        <w:tc>
          <w:tcPr>
            <w:tcW w:w="1103" w:type="dxa"/>
            <w:noWrap/>
            <w:vAlign w:val="center"/>
            <w:hideMark/>
          </w:tcPr>
          <w:p w14:paraId="4460FB15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1215 </w:t>
            </w:r>
          </w:p>
        </w:tc>
        <w:tc>
          <w:tcPr>
            <w:tcW w:w="1103" w:type="dxa"/>
            <w:noWrap/>
            <w:vAlign w:val="center"/>
            <w:hideMark/>
          </w:tcPr>
          <w:p w14:paraId="578D33DD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1335 </w:t>
            </w:r>
          </w:p>
        </w:tc>
        <w:tc>
          <w:tcPr>
            <w:tcW w:w="1103" w:type="dxa"/>
            <w:noWrap/>
            <w:vAlign w:val="center"/>
            <w:hideMark/>
          </w:tcPr>
          <w:p w14:paraId="5F0B79F4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4723 </w:t>
            </w:r>
          </w:p>
        </w:tc>
      </w:tr>
      <w:tr w:rsidR="00D420CD" w14:paraId="26E2DF57" w14:textId="77777777" w:rsidTr="00D420CD">
        <w:trPr>
          <w:trHeight w:val="302"/>
        </w:trPr>
        <w:tc>
          <w:tcPr>
            <w:tcW w:w="1214" w:type="dxa"/>
            <w:noWrap/>
            <w:vAlign w:val="center"/>
            <w:hideMark/>
          </w:tcPr>
          <w:p w14:paraId="329B728B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103" w:type="dxa"/>
            <w:noWrap/>
            <w:vAlign w:val="center"/>
            <w:hideMark/>
          </w:tcPr>
          <w:p w14:paraId="1086193D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1215 </w:t>
            </w:r>
          </w:p>
        </w:tc>
        <w:tc>
          <w:tcPr>
            <w:tcW w:w="1103" w:type="dxa"/>
            <w:noWrap/>
            <w:vAlign w:val="center"/>
            <w:hideMark/>
          </w:tcPr>
          <w:p w14:paraId="0382EB5E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405 </w:t>
            </w:r>
          </w:p>
        </w:tc>
        <w:tc>
          <w:tcPr>
            <w:tcW w:w="1103" w:type="dxa"/>
            <w:noWrap/>
            <w:vAlign w:val="center"/>
            <w:hideMark/>
          </w:tcPr>
          <w:p w14:paraId="508C1D16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373 </w:t>
            </w:r>
          </w:p>
        </w:tc>
        <w:tc>
          <w:tcPr>
            <w:tcW w:w="1103" w:type="dxa"/>
            <w:noWrap/>
            <w:vAlign w:val="center"/>
            <w:hideMark/>
          </w:tcPr>
          <w:p w14:paraId="2A44A7B7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1957 </w:t>
            </w:r>
          </w:p>
        </w:tc>
      </w:tr>
      <w:tr w:rsidR="00D420CD" w14:paraId="30351456" w14:textId="77777777" w:rsidTr="00D420CD">
        <w:trPr>
          <w:trHeight w:val="302"/>
        </w:trPr>
        <w:tc>
          <w:tcPr>
            <w:tcW w:w="1214" w:type="dxa"/>
            <w:noWrap/>
            <w:vAlign w:val="center"/>
            <w:hideMark/>
          </w:tcPr>
          <w:p w14:paraId="689EC77F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103" w:type="dxa"/>
            <w:noWrap/>
            <w:vAlign w:val="center"/>
            <w:hideMark/>
          </w:tcPr>
          <w:p w14:paraId="2E584A80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3645 </w:t>
            </w:r>
          </w:p>
        </w:tc>
        <w:tc>
          <w:tcPr>
            <w:tcW w:w="1103" w:type="dxa"/>
            <w:noWrap/>
            <w:vAlign w:val="center"/>
            <w:hideMark/>
          </w:tcPr>
          <w:p w14:paraId="0C2ED18B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3645 </w:t>
            </w:r>
          </w:p>
        </w:tc>
        <w:tc>
          <w:tcPr>
            <w:tcW w:w="1103" w:type="dxa"/>
            <w:noWrap/>
            <w:vAlign w:val="center"/>
            <w:hideMark/>
          </w:tcPr>
          <w:p w14:paraId="7B296815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2812 </w:t>
            </w:r>
          </w:p>
        </w:tc>
        <w:tc>
          <w:tcPr>
            <w:tcW w:w="1103" w:type="dxa"/>
            <w:noWrap/>
            <w:vAlign w:val="center"/>
            <w:hideMark/>
          </w:tcPr>
          <w:p w14:paraId="7E8ADC5F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4455 </w:t>
            </w:r>
          </w:p>
        </w:tc>
      </w:tr>
      <w:tr w:rsidR="00D420CD" w14:paraId="161E6B7E" w14:textId="77777777" w:rsidTr="00D420CD">
        <w:trPr>
          <w:trHeight w:val="393"/>
        </w:trPr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59E966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5BFD2B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405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0C3210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135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E968AD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45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619F06" w14:textId="77777777" w:rsidR="00D420CD" w:rsidRDefault="00D420CD">
            <w:pPr>
              <w:widowControl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540 </w:t>
            </w:r>
          </w:p>
        </w:tc>
      </w:tr>
    </w:tbl>
    <w:p w14:paraId="3D229474" w14:textId="77777777" w:rsidR="00D420CD" w:rsidRDefault="00D420CD" w:rsidP="00D420CD">
      <w:pPr>
        <w:widowControl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A5EBBF" w14:textId="77777777" w:rsidR="00D420CD" w:rsidRDefault="00D420CD" w:rsidP="00D420CD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eastAsia="SimSun" w:hAnsi="Times New Roman" w:cs="Times New Roman"/>
          <w:sz w:val="24"/>
          <w:szCs w:val="24"/>
        </w:rPr>
        <w:t>BT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eastAsia="SimSu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highest</w:t>
      </w:r>
      <w:r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plasma dilution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giving a ≥ 50% inhibition of receptor blocking activity.</w:t>
      </w:r>
    </w:p>
    <w:p w14:paraId="6251F4C6" w14:textId="77777777" w:rsidR="00D420CD" w:rsidRDefault="00D420CD" w:rsidP="00D420CD">
      <w:pP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NT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50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highest</w:t>
      </w:r>
      <w:r>
        <w:rPr>
          <w:rStyle w:val="Strong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plasma dilution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giving a ≥ 50% inhibition of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pseudovirus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virus infection.</w:t>
      </w:r>
    </w:p>
    <w:p w14:paraId="3FEE97CE" w14:textId="77777777" w:rsidR="00680122" w:rsidRDefault="00680122"/>
    <w:sectPr w:rsidR="00680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hitney-Bold">
    <w:altName w:val="Microsoft YaHei"/>
    <w:charset w:val="86"/>
    <w:family w:val="swiss"/>
    <w:pitch w:val="default"/>
    <w:sig w:usb0="00000000" w:usb1="0000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MT-Identity-H">
    <w:altName w:val="DengXian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0CD"/>
    <w:rsid w:val="00680122"/>
    <w:rsid w:val="00D4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DFF1BB"/>
  <w15:chartTrackingRefBased/>
  <w15:docId w15:val="{BB49653B-CFE2-47FC-948D-4315A5973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0CD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420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675</Words>
  <Characters>3851</Characters>
  <Application>Microsoft Office Word</Application>
  <DocSecurity>0</DocSecurity>
  <Lines>32</Lines>
  <Paragraphs>9</Paragraphs>
  <ScaleCrop>false</ScaleCrop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Rynn</dc:creator>
  <cp:keywords/>
  <dc:description/>
  <cp:lastModifiedBy>Kevin Rynn</cp:lastModifiedBy>
  <cp:revision>1</cp:revision>
  <dcterms:created xsi:type="dcterms:W3CDTF">2021-05-06T15:39:00Z</dcterms:created>
  <dcterms:modified xsi:type="dcterms:W3CDTF">2021-05-06T15:41:00Z</dcterms:modified>
</cp:coreProperties>
</file>