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62" w:rsidRPr="007415BB" w:rsidRDefault="00E14A62" w:rsidP="00E14A62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>Supporting Information</w:t>
      </w:r>
    </w:p>
    <w:p w:rsidR="00E14A62" w:rsidRPr="007415BB" w:rsidRDefault="00E14A62" w:rsidP="00E14A62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1. Information of AML patients.</w:t>
      </w:r>
    </w:p>
    <w:p w:rsidR="00E14A62" w:rsidRPr="007415BB" w:rsidRDefault="00E14A62" w:rsidP="00E14A62">
      <w:pPr>
        <w:spacing w:line="480" w:lineRule="auto"/>
        <w:rPr>
          <w:rFonts w:ascii="Times New Roman" w:eastAsia="Gulim"/>
          <w:color w:val="000000" w:themeColor="text1"/>
          <w:kern w:val="0"/>
          <w:sz w:val="22"/>
        </w:rPr>
      </w:pPr>
      <w:bookmarkStart w:id="0" w:name="OLE_LINK3"/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>Supplementary Fig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.</w:t>
      </w: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7415BB">
        <w:rPr>
          <w:rFonts w:ascii="Times New Roman" w:hAnsi="Times New Roman" w:cs="Times New Roman" w:hint="eastAsia"/>
          <w:b/>
          <w:color w:val="000000" w:themeColor="text1"/>
          <w:sz w:val="22"/>
        </w:rPr>
        <w:t>1</w:t>
      </w: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Pr="007415BB">
        <w:rPr>
          <w:rFonts w:ascii="Times New Roman" w:eastAsia="Gulim" w:hint="eastAsia"/>
          <w:b/>
          <w:color w:val="000000" w:themeColor="text1"/>
          <w:kern w:val="0"/>
          <w:sz w:val="22"/>
        </w:rPr>
        <w:t xml:space="preserve"> </w:t>
      </w:r>
      <w:bookmarkEnd w:id="0"/>
      <w:r w:rsidRPr="007415BB">
        <w:rPr>
          <w:rFonts w:ascii="Times New Roman" w:eastAsia="Gulim"/>
          <w:b/>
          <w:color w:val="000000" w:themeColor="text1"/>
          <w:kern w:val="0"/>
          <w:sz w:val="22"/>
        </w:rPr>
        <w:t xml:space="preserve">Combination of </w:t>
      </w:r>
      <w:r w:rsidRPr="007415BB">
        <w:rPr>
          <w:rFonts w:ascii="Times New Roman" w:eastAsia="Gulim" w:hint="eastAsia"/>
          <w:b/>
          <w:color w:val="000000" w:themeColor="text1"/>
          <w:kern w:val="0"/>
          <w:sz w:val="22"/>
        </w:rPr>
        <w:t>rado</w:t>
      </w:r>
      <w:r w:rsidRPr="007415BB">
        <w:rPr>
          <w:rFonts w:ascii="Times New Roman" w:eastAsia="Gulim"/>
          <w:b/>
          <w:color w:val="000000" w:themeColor="text1"/>
          <w:kern w:val="0"/>
          <w:sz w:val="22"/>
        </w:rPr>
        <w:t xml:space="preserve">tinib and </w:t>
      </w:r>
      <w:r w:rsidRPr="007415BB">
        <w:rPr>
          <w:rFonts w:ascii="Times New Roman" w:eastAsia="Gulim" w:hint="eastAsia"/>
          <w:b/>
          <w:color w:val="000000" w:themeColor="text1"/>
          <w:kern w:val="0"/>
          <w:sz w:val="22"/>
        </w:rPr>
        <w:t>Ara-C</w:t>
      </w:r>
      <w:r w:rsidRPr="007415BB">
        <w:rPr>
          <w:rFonts w:ascii="Times New Roman" w:eastAsia="Gulim"/>
          <w:b/>
          <w:color w:val="000000" w:themeColor="text1"/>
          <w:kern w:val="0"/>
          <w:sz w:val="22"/>
        </w:rPr>
        <w:t xml:space="preserve"> inhibits HL60 cell</w:t>
      </w:r>
      <w:r w:rsidRPr="007415BB">
        <w:rPr>
          <w:rFonts w:ascii="Times New Roman" w:eastAsia="Gulim" w:hint="eastAsia"/>
          <w:b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/>
          <w:b/>
          <w:color w:val="000000" w:themeColor="text1"/>
          <w:kern w:val="0"/>
          <w:sz w:val="22"/>
        </w:rPr>
        <w:t>proliferation.</w:t>
      </w:r>
      <w:r w:rsidRPr="007415BB">
        <w:rPr>
          <w:rFonts w:ascii="Times New Roman" w:eastAsia="Gulim" w:hint="eastAsia"/>
          <w:b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>Cells were stimulated with various concentrations of 0,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10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,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30, 40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and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50 </w:t>
      </w:r>
      <w:r w:rsidRPr="007415BB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>µM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radotinib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and 0,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40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,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80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,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120 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>and 1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60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n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M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Ara-C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for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48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h. The cytotoxicity was then evaluated by a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cell viability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assay. (A) Dose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-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dependent responses of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radotinib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on cell viability. (B) Dose-dependent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responses of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Ara-C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on cell viability. (C) Treatment of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radotinib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and/or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Ara-C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at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48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h. Representative data are shown for at least three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independent experiments. These data represent the means </w:t>
      </w:r>
      <w:r w:rsidRPr="007415BB">
        <w:rPr>
          <w:rFonts w:ascii="Times New Roman" w:eastAsia="Gulim" w:hAnsi="Times New Roman"/>
          <w:bCs/>
          <w:color w:val="000000" w:themeColor="text1"/>
          <w:kern w:val="0"/>
          <w:sz w:val="22"/>
        </w:rPr>
        <w:t>±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SEM.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Significantly different from the control (*) or combination of 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>radotinib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and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Ara-C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 (#); *: </w:t>
      </w:r>
      <w:r w:rsidRPr="007415BB">
        <w:rPr>
          <w:rFonts w:ascii="Times New Roman" w:eastAsia="Gulim"/>
          <w:i/>
          <w:color w:val="000000" w:themeColor="text1"/>
          <w:kern w:val="0"/>
          <w:sz w:val="22"/>
        </w:rPr>
        <w:t>P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>,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 xml:space="preserve">0.05; ***, ###: </w:t>
      </w:r>
      <w:r w:rsidRPr="007415BB">
        <w:rPr>
          <w:rFonts w:ascii="Times New Roman" w:eastAsia="Gulim"/>
          <w:i/>
          <w:color w:val="000000" w:themeColor="text1"/>
          <w:kern w:val="0"/>
          <w:sz w:val="22"/>
        </w:rPr>
        <w:t>P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>,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</w:t>
      </w:r>
      <w:r w:rsidRPr="007415BB">
        <w:rPr>
          <w:rFonts w:ascii="Times New Roman" w:eastAsia="Gulim"/>
          <w:color w:val="000000" w:themeColor="text1"/>
          <w:kern w:val="0"/>
          <w:sz w:val="22"/>
        </w:rPr>
        <w:t>0.001.</w:t>
      </w:r>
      <w:r w:rsidRPr="007415BB">
        <w:rPr>
          <w:rFonts w:ascii="Times New Roman" w:eastAsia="Gulim" w:hint="eastAsia"/>
          <w:color w:val="000000" w:themeColor="text1"/>
          <w:kern w:val="0"/>
          <w:sz w:val="22"/>
        </w:rPr>
        <w:t xml:space="preserve"> C: DMSO-control, R: radotinib, A: Ara-C.</w:t>
      </w:r>
    </w:p>
    <w:p w:rsidR="00E14A62" w:rsidRPr="007415BB" w:rsidRDefault="00E14A62" w:rsidP="00E14A62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14A62" w:rsidRPr="007415BB" w:rsidRDefault="00E14A62" w:rsidP="00E14A62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>Supplementary Fig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.</w:t>
      </w: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7415BB">
        <w:rPr>
          <w:rFonts w:ascii="Times New Roman" w:hAnsi="Times New Roman" w:cs="Times New Roman" w:hint="eastAsia"/>
          <w:b/>
          <w:color w:val="000000" w:themeColor="text1"/>
          <w:sz w:val="22"/>
        </w:rPr>
        <w:t>2</w:t>
      </w: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Pr="007415BB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Radotinib and Ara-C sensitize the </w:t>
      </w: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>chemotherapeutic agents including daunorubicin (DNR) or idarubicin (Idar) in AML cells.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E14A62" w:rsidRPr="007415BB" w:rsidRDefault="00E14A62" w:rsidP="00E14A62">
      <w:pPr>
        <w:spacing w:line="480" w:lineRule="auto"/>
        <w:rPr>
          <w:rFonts w:ascii="Times New Roman" w:hAnsi="Times New Roman"/>
          <w:color w:val="000000" w:themeColor="text1"/>
          <w:kern w:val="0"/>
          <w:sz w:val="22"/>
        </w:rPr>
      </w:pP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>(A) HL60 cells were cultured with 3 µM radotinib, 10 nM Ara-C and 50 nM DNR for 48 h. The cell viability was then evaluated by an MTS assay. Triple combination of radotinib, Ara-C and DNR on cell viability is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 more potent.</w:t>
      </w:r>
      <w:r w:rsidRPr="007415BB">
        <w:rPr>
          <w:color w:val="000000" w:themeColor="text1"/>
          <w:sz w:val="22"/>
        </w:rPr>
        <w:t xml:space="preserve"> 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>(B) HEL92.1.7 cells were cultured with 5 µM radotinib, 10 nM Ara-C and 75 nM DNR for 48 h. Triple combination of radotinib, Ara-C and DNR on cell viability is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 more potent</w:t>
      </w:r>
      <w:r w:rsidRPr="007415BB">
        <w:rPr>
          <w:color w:val="000000" w:themeColor="text1"/>
          <w:sz w:val="22"/>
        </w:rPr>
        <w:t xml:space="preserve"> 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(C) HEL92.1.7 cells were cultured with 5 µM radotinib, 10 nM Ara-C and 2 nM 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idarubicin 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for 48 h. Triple combination of radotinib, Ara-C and 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>idarubicin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 on cell viability is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 more powerful</w:t>
      </w:r>
      <w:r w:rsidRPr="007415BB">
        <w:rPr>
          <w:color w:val="000000" w:themeColor="text1"/>
          <w:sz w:val="22"/>
        </w:rPr>
        <w:t xml:space="preserve">. </w:t>
      </w:r>
      <w:r w:rsidRPr="007415BB">
        <w:rPr>
          <w:rFonts w:ascii="Times New Roman" w:hAnsi="Times New Roman"/>
          <w:color w:val="000000" w:themeColor="text1"/>
          <w:kern w:val="0"/>
          <w:sz w:val="22"/>
        </w:rPr>
        <w:t xml:space="preserve">These </w:t>
      </w:r>
      <w:r w:rsidRPr="007415BB">
        <w:rPr>
          <w:rFonts w:ascii="Times New Roman" w:eastAsia="Gulim" w:hAnsi="Times New Roman"/>
          <w:bCs/>
          <w:color w:val="000000" w:themeColor="text1"/>
          <w:kern w:val="0"/>
          <w:sz w:val="22"/>
        </w:rPr>
        <w:t>data represent the means ± SEM.</w:t>
      </w:r>
      <w:r w:rsidRPr="007415BB">
        <w:rPr>
          <w:rFonts w:ascii="Times New Roman" w:hAnsi="Times New Roman"/>
          <w:color w:val="000000" w:themeColor="text1"/>
          <w:kern w:val="0"/>
          <w:sz w:val="22"/>
        </w:rPr>
        <w:t xml:space="preserve"> Significantly different from control (*) or triple combination of </w:t>
      </w:r>
      <w:r w:rsidRPr="007415BB">
        <w:rPr>
          <w:rFonts w:ascii="Times New Roman" w:hAnsi="Times New Roman"/>
          <w:bCs/>
          <w:color w:val="000000" w:themeColor="text1"/>
          <w:sz w:val="22"/>
        </w:rPr>
        <w:t xml:space="preserve">radotinib, Ara-C and DNR/or 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>idarubicin</w:t>
      </w:r>
      <w:r w:rsidRPr="007415BB">
        <w:rPr>
          <w:rFonts w:ascii="Times New Roman" w:hAnsi="Times New Roman"/>
          <w:bCs/>
          <w:color w:val="000000" w:themeColor="text1"/>
          <w:sz w:val="22"/>
        </w:rPr>
        <w:t xml:space="preserve"> </w:t>
      </w:r>
      <w:r w:rsidRPr="007415BB">
        <w:rPr>
          <w:rFonts w:ascii="Times New Roman" w:hAnsi="Times New Roman"/>
          <w:color w:val="000000" w:themeColor="text1"/>
          <w:kern w:val="0"/>
          <w:sz w:val="22"/>
        </w:rPr>
        <w:t xml:space="preserve">(#); ***, ###: </w:t>
      </w:r>
      <w:r w:rsidRPr="007415BB">
        <w:rPr>
          <w:rFonts w:ascii="Times New Roman" w:hAnsi="Times New Roman"/>
          <w:i/>
          <w:color w:val="000000" w:themeColor="text1"/>
          <w:kern w:val="0"/>
          <w:sz w:val="22"/>
        </w:rPr>
        <w:t>P</w:t>
      </w:r>
      <w:r w:rsidRPr="007415BB">
        <w:rPr>
          <w:rFonts w:ascii="Times New Roman" w:hAnsi="Times New Roman"/>
          <w:color w:val="000000" w:themeColor="text1"/>
          <w:kern w:val="0"/>
          <w:sz w:val="22"/>
        </w:rPr>
        <w:t xml:space="preserve"> &lt; 0.001.</w:t>
      </w:r>
    </w:p>
    <w:p w:rsidR="00E14A62" w:rsidRPr="007415BB" w:rsidRDefault="00E14A62" w:rsidP="00E14A62">
      <w:pPr>
        <w:rPr>
          <w:color w:val="000000" w:themeColor="text1"/>
        </w:rPr>
      </w:pPr>
    </w:p>
    <w:p w:rsidR="00E14A62" w:rsidRPr="007415BB" w:rsidRDefault="00E14A62" w:rsidP="00E14A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 xml:space="preserve">Supplementary Fig.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3</w:t>
      </w:r>
      <w:r w:rsidRPr="007415BB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415BB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Isobologram analysis of radotinib and Ara-C combination on AML cell </w:t>
      </w:r>
      <w:r w:rsidRPr="007415BB">
        <w:rPr>
          <w:rFonts w:ascii="Times New Roman" w:hAnsi="Times New Roman" w:cs="Times New Roman"/>
          <w:b/>
          <w:bCs/>
          <w:color w:val="000000" w:themeColor="text1"/>
          <w:sz w:val="22"/>
        </w:rPr>
        <w:lastRenderedPageBreak/>
        <w:t>death.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 Cell viability assay 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by 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radotinib and Ara-C 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was </w:t>
      </w:r>
      <w:r w:rsidRPr="007415BB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 xml:space="preserve">analyzed in HL60 cells. 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>Cells were seeded (density, 2 × 10</w:t>
      </w:r>
      <w:r w:rsidRPr="007415BB">
        <w:rPr>
          <w:rFonts w:ascii="Times New Roman" w:hAnsi="Times New Roman" w:cs="Times New Roman"/>
          <w:bCs/>
          <w:color w:val="000000" w:themeColor="text1"/>
          <w:sz w:val="22"/>
          <w:vertAlign w:val="superscript"/>
        </w:rPr>
        <w:t>4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 cells/well) in 96-well plates containing 200 µl medium per well and were incubated with diverse concentration of radotinib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 and/or Ara-C 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for 48 h at 37°C. CellTiter 96 solution (20 µl; 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>Promega, Madison, WI, USA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>) was added directly to each well, and the plates were incubated for 4 h in a humidified atmosphere of 5% CO</w:t>
      </w:r>
      <w:r w:rsidRPr="007415BB">
        <w:rPr>
          <w:rFonts w:ascii="Times New Roman" w:hAnsi="Times New Roman" w:cs="Times New Roman"/>
          <w:bCs/>
          <w:color w:val="000000" w:themeColor="text1"/>
          <w:sz w:val="22"/>
          <w:vertAlign w:val="subscript"/>
        </w:rPr>
        <w:t>2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 at 37°C. Absorbance was measured at 490 nm by using SpectraMax iD3 Microplate Reader (Molecular Devices, San Jose, CA, USA). We found the strong synergism on radotinib and Ara-C combination on AML cell death. </w:t>
      </w:r>
      <w:r w:rsidRPr="007415BB">
        <w:rPr>
          <w:rFonts w:ascii="Times New Roman" w:hAnsi="Times New Roman" w:cs="Times New Roman"/>
          <w:color w:val="000000" w:themeColor="text1"/>
          <w:sz w:val="22"/>
        </w:rPr>
        <w:t xml:space="preserve">Fifty % of 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>inhibition concentration (IC</w:t>
      </w:r>
      <w:r w:rsidRPr="007415BB">
        <w:rPr>
          <w:rFonts w:ascii="Times New Roman" w:hAnsi="Times New Roman" w:cs="Times New Roman"/>
          <w:bCs/>
          <w:color w:val="000000" w:themeColor="text1"/>
          <w:sz w:val="22"/>
          <w:vertAlign w:val="subscript"/>
        </w:rPr>
        <w:t>50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) on AML cell death in HL60 cells: Radotinib only, 200 </w:t>
      </w:r>
      <w:r w:rsidRPr="007415BB">
        <w:rPr>
          <w:rFonts w:ascii="Times New Roman" w:eastAsia="Malgun Gothic" w:hAnsi="Times New Roman" w:cs="Times New Roman"/>
          <w:bCs/>
          <w:color w:val="000000" w:themeColor="text1"/>
          <w:sz w:val="22"/>
        </w:rPr>
        <w:t>μ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 xml:space="preserve">M; Ara-C only, 140 nM; combination of radotinib and Ara-C = 5 </w:t>
      </w:r>
      <w:r w:rsidRPr="007415BB">
        <w:rPr>
          <w:rFonts w:ascii="Times New Roman" w:eastAsia="Malgun Gothic" w:hAnsi="Times New Roman" w:cs="Times New Roman"/>
          <w:bCs/>
          <w:color w:val="000000" w:themeColor="text1"/>
          <w:sz w:val="22"/>
        </w:rPr>
        <w:t>μ</w:t>
      </w:r>
      <w:r w:rsidRPr="007415BB">
        <w:rPr>
          <w:rFonts w:ascii="Times New Roman" w:hAnsi="Times New Roman" w:cs="Times New Roman"/>
          <w:bCs/>
          <w:color w:val="000000" w:themeColor="text1"/>
          <w:sz w:val="22"/>
        </w:rPr>
        <w:t>M + 70 nM. Combination Index: 0.52).</w:t>
      </w:r>
    </w:p>
    <w:p w:rsidR="00E14A62" w:rsidRDefault="00E14A62" w:rsidP="00E14A6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14A62" w:rsidRPr="009A66E1" w:rsidRDefault="00E14A62" w:rsidP="00E14A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9A66E1">
        <w:rPr>
          <w:rFonts w:ascii="Times New Roman" w:hAnsi="Times New Roman" w:cs="Times New Roman"/>
          <w:b/>
          <w:color w:val="000000" w:themeColor="text1"/>
          <w:sz w:val="22"/>
        </w:rPr>
        <w:t xml:space="preserve">Supplementary Fig.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4</w:t>
      </w:r>
      <w:r w:rsidRPr="009A66E1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 xml:space="preserve">Original western blots used for Fig.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3C, 3D and 3E</w:t>
      </w:r>
      <w:r w:rsidRPr="00AD40F3">
        <w:rPr>
          <w:rFonts w:ascii="Times New Roman" w:hAnsi="Times New Roman" w:cs="Times New Roman"/>
          <w:sz w:val="22"/>
        </w:rPr>
        <w:t xml:space="preserve">. </w:t>
      </w:r>
      <w:r w:rsidRPr="00B85DA3">
        <w:rPr>
          <w:rFonts w:ascii="Times New Roman" w:hAnsi="Times New Roman" w:cs="Times New Roman"/>
          <w:sz w:val="22"/>
        </w:rPr>
        <w:t>The blots were developed using the ChemiDoc</w:t>
      </w:r>
      <w:r w:rsidRPr="00B85DA3">
        <w:rPr>
          <w:rFonts w:ascii="Times New Roman" w:hAnsi="Times New Roman" w:cs="Times New Roman"/>
          <w:sz w:val="22"/>
          <w:vertAlign w:val="superscript"/>
        </w:rPr>
        <w:t>TM</w:t>
      </w:r>
      <w:r w:rsidRPr="00B85DA3">
        <w:rPr>
          <w:rFonts w:ascii="Times New Roman" w:hAnsi="Times New Roman" w:cs="Times New Roman"/>
          <w:sz w:val="22"/>
        </w:rPr>
        <w:t xml:space="preserve"> </w:t>
      </w:r>
      <w:r w:rsidRPr="00B85DA3">
        <w:rPr>
          <w:rFonts w:ascii="Times New Roman" w:hAnsi="Times New Roman" w:cs="Times New Roman" w:hint="eastAsia"/>
          <w:sz w:val="22"/>
        </w:rPr>
        <w:t>Touch Imaging System</w:t>
      </w:r>
      <w:r w:rsidRPr="00B85DA3">
        <w:rPr>
          <w:rFonts w:ascii="Times New Roman" w:hAnsi="Times New Roman" w:cs="Times New Roman"/>
          <w:sz w:val="22"/>
        </w:rPr>
        <w:t>, and analyzed with the Image Lab</w:t>
      </w:r>
      <w:r w:rsidRPr="00B85DA3">
        <w:rPr>
          <w:rFonts w:ascii="Times New Roman" w:hAnsi="Times New Roman" w:cs="Times New Roman"/>
          <w:sz w:val="22"/>
          <w:vertAlign w:val="superscript"/>
        </w:rPr>
        <w:t xml:space="preserve">TM </w:t>
      </w:r>
      <w:r w:rsidRPr="00B85DA3">
        <w:rPr>
          <w:rFonts w:ascii="Times New Roman" w:hAnsi="Times New Roman" w:cs="Times New Roman" w:hint="eastAsia"/>
          <w:sz w:val="22"/>
        </w:rPr>
        <w:t>Software</w:t>
      </w:r>
      <w:r w:rsidRPr="00B85DA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>The red boxes indicate the cropped regions used in the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>representative figures.</w:t>
      </w:r>
    </w:p>
    <w:p w:rsidR="00E14A62" w:rsidRDefault="00E14A62" w:rsidP="00E14A6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14A62" w:rsidRPr="009A66E1" w:rsidRDefault="00E14A62" w:rsidP="00E14A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9A66E1">
        <w:rPr>
          <w:rFonts w:ascii="Times New Roman" w:hAnsi="Times New Roman" w:cs="Times New Roman"/>
          <w:b/>
          <w:color w:val="000000" w:themeColor="text1"/>
          <w:sz w:val="22"/>
        </w:rPr>
        <w:t xml:space="preserve">Supplementary Fig.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5</w:t>
      </w:r>
      <w:r w:rsidRPr="009A66E1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 xml:space="preserve">Original western blots used for Fig.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4C and 4F</w:t>
      </w:r>
      <w:r w:rsidRPr="00AD40F3">
        <w:rPr>
          <w:rFonts w:ascii="Times New Roman" w:hAnsi="Times New Roman" w:cs="Times New Roman"/>
          <w:sz w:val="22"/>
        </w:rPr>
        <w:t xml:space="preserve">. </w:t>
      </w:r>
      <w:r w:rsidRPr="00B85DA3">
        <w:rPr>
          <w:rFonts w:ascii="Times New Roman" w:hAnsi="Times New Roman" w:cs="Times New Roman"/>
          <w:sz w:val="22"/>
        </w:rPr>
        <w:t>The blots were developed using the ChemiDoc</w:t>
      </w:r>
      <w:r w:rsidRPr="00B85DA3">
        <w:rPr>
          <w:rFonts w:ascii="Times New Roman" w:hAnsi="Times New Roman" w:cs="Times New Roman"/>
          <w:sz w:val="22"/>
          <w:vertAlign w:val="superscript"/>
        </w:rPr>
        <w:t>TM</w:t>
      </w:r>
      <w:r w:rsidRPr="00B85DA3">
        <w:rPr>
          <w:rFonts w:ascii="Times New Roman" w:hAnsi="Times New Roman" w:cs="Times New Roman"/>
          <w:sz w:val="22"/>
        </w:rPr>
        <w:t xml:space="preserve"> </w:t>
      </w:r>
      <w:r w:rsidRPr="00B85DA3">
        <w:rPr>
          <w:rFonts w:ascii="Times New Roman" w:hAnsi="Times New Roman" w:cs="Times New Roman" w:hint="eastAsia"/>
          <w:sz w:val="22"/>
        </w:rPr>
        <w:t>Touch Imaging System</w:t>
      </w:r>
      <w:r w:rsidRPr="00B85DA3">
        <w:rPr>
          <w:rFonts w:ascii="Times New Roman" w:hAnsi="Times New Roman" w:cs="Times New Roman"/>
          <w:sz w:val="22"/>
        </w:rPr>
        <w:t>, and analyzed with the Image Lab</w:t>
      </w:r>
      <w:r w:rsidRPr="00B85DA3">
        <w:rPr>
          <w:rFonts w:ascii="Times New Roman" w:hAnsi="Times New Roman" w:cs="Times New Roman"/>
          <w:sz w:val="22"/>
          <w:vertAlign w:val="superscript"/>
        </w:rPr>
        <w:t xml:space="preserve">TM </w:t>
      </w:r>
      <w:r w:rsidRPr="00B85DA3">
        <w:rPr>
          <w:rFonts w:ascii="Times New Roman" w:hAnsi="Times New Roman" w:cs="Times New Roman" w:hint="eastAsia"/>
          <w:sz w:val="22"/>
        </w:rPr>
        <w:t>Software</w:t>
      </w:r>
      <w:r w:rsidRPr="00B85DA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>The red boxes indicate the cropped regions used in the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>representative figures.</w:t>
      </w:r>
    </w:p>
    <w:p w:rsidR="00E14A62" w:rsidRDefault="00E14A62" w:rsidP="00E14A62">
      <w:pPr>
        <w:widowControl/>
        <w:wordWrap/>
        <w:autoSpaceDE/>
        <w:autoSpaceDN/>
      </w:pPr>
    </w:p>
    <w:p w:rsidR="00E14A62" w:rsidRPr="009A66E1" w:rsidRDefault="00E14A62" w:rsidP="00E14A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9A66E1">
        <w:rPr>
          <w:rFonts w:ascii="Times New Roman" w:hAnsi="Times New Roman" w:cs="Times New Roman"/>
          <w:b/>
          <w:color w:val="000000" w:themeColor="text1"/>
          <w:sz w:val="22"/>
        </w:rPr>
        <w:t xml:space="preserve">Supplementary Fig.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6</w:t>
      </w:r>
      <w:r w:rsidRPr="009A66E1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 xml:space="preserve">Original western blots used for Fig.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5B and 5C</w:t>
      </w:r>
      <w:r w:rsidRPr="00AD40F3">
        <w:rPr>
          <w:rFonts w:ascii="Times New Roman" w:hAnsi="Times New Roman" w:cs="Times New Roman"/>
          <w:sz w:val="22"/>
        </w:rPr>
        <w:t xml:space="preserve">. </w:t>
      </w:r>
      <w:r w:rsidRPr="00B85DA3">
        <w:rPr>
          <w:rFonts w:ascii="Times New Roman" w:hAnsi="Times New Roman" w:cs="Times New Roman"/>
          <w:sz w:val="22"/>
        </w:rPr>
        <w:t>The blots were developed using the ChemiDoc</w:t>
      </w:r>
      <w:r w:rsidRPr="00B85DA3">
        <w:rPr>
          <w:rFonts w:ascii="Times New Roman" w:hAnsi="Times New Roman" w:cs="Times New Roman"/>
          <w:sz w:val="22"/>
          <w:vertAlign w:val="superscript"/>
        </w:rPr>
        <w:t>TM</w:t>
      </w:r>
      <w:r w:rsidRPr="00B85DA3">
        <w:rPr>
          <w:rFonts w:ascii="Times New Roman" w:hAnsi="Times New Roman" w:cs="Times New Roman"/>
          <w:sz w:val="22"/>
        </w:rPr>
        <w:t xml:space="preserve"> </w:t>
      </w:r>
      <w:r w:rsidRPr="00B85DA3">
        <w:rPr>
          <w:rFonts w:ascii="Times New Roman" w:hAnsi="Times New Roman" w:cs="Times New Roman" w:hint="eastAsia"/>
          <w:sz w:val="22"/>
        </w:rPr>
        <w:t>Touch Imaging System</w:t>
      </w:r>
      <w:r w:rsidRPr="00B85DA3">
        <w:rPr>
          <w:rFonts w:ascii="Times New Roman" w:hAnsi="Times New Roman" w:cs="Times New Roman"/>
          <w:sz w:val="22"/>
        </w:rPr>
        <w:t>, and analyzed with the Image Lab</w:t>
      </w:r>
      <w:r w:rsidRPr="00B85DA3">
        <w:rPr>
          <w:rFonts w:ascii="Times New Roman" w:hAnsi="Times New Roman" w:cs="Times New Roman"/>
          <w:sz w:val="22"/>
          <w:vertAlign w:val="superscript"/>
        </w:rPr>
        <w:t xml:space="preserve">TM </w:t>
      </w:r>
      <w:r w:rsidRPr="00B85DA3">
        <w:rPr>
          <w:rFonts w:ascii="Times New Roman" w:hAnsi="Times New Roman" w:cs="Times New Roman" w:hint="eastAsia"/>
          <w:sz w:val="22"/>
        </w:rPr>
        <w:t>Software</w:t>
      </w:r>
      <w:r w:rsidRPr="00B85DA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>The red boxes indicate the cropped regions used in the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>representative figures.</w:t>
      </w:r>
    </w:p>
    <w:p w:rsidR="00E14A62" w:rsidRDefault="00E14A62" w:rsidP="00E14A62">
      <w:pPr>
        <w:widowControl/>
        <w:wordWrap/>
        <w:autoSpaceDE/>
        <w:autoSpaceDN/>
      </w:pPr>
    </w:p>
    <w:p w:rsidR="00E14A62" w:rsidRDefault="00E14A62" w:rsidP="00E14A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9A66E1">
        <w:rPr>
          <w:rFonts w:ascii="Times New Roman" w:hAnsi="Times New Roman" w:cs="Times New Roman"/>
          <w:b/>
          <w:color w:val="000000" w:themeColor="text1"/>
          <w:sz w:val="22"/>
        </w:rPr>
        <w:t xml:space="preserve">Supplementary Fig.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7</w:t>
      </w:r>
      <w:r w:rsidRPr="009A66E1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 xml:space="preserve">Original western blots used for Fig.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6D and 6E</w:t>
      </w:r>
      <w:r w:rsidRPr="00AD40F3">
        <w:rPr>
          <w:rFonts w:ascii="Times New Roman" w:hAnsi="Times New Roman" w:cs="Times New Roman"/>
          <w:sz w:val="22"/>
        </w:rPr>
        <w:t xml:space="preserve">. </w:t>
      </w:r>
      <w:r w:rsidRPr="00B85DA3">
        <w:rPr>
          <w:rFonts w:ascii="Times New Roman" w:hAnsi="Times New Roman" w:cs="Times New Roman"/>
          <w:sz w:val="22"/>
        </w:rPr>
        <w:t>The blots were developed using the ChemiDoc</w:t>
      </w:r>
      <w:r w:rsidRPr="00B85DA3">
        <w:rPr>
          <w:rFonts w:ascii="Times New Roman" w:hAnsi="Times New Roman" w:cs="Times New Roman"/>
          <w:sz w:val="22"/>
          <w:vertAlign w:val="superscript"/>
        </w:rPr>
        <w:t>TM</w:t>
      </w:r>
      <w:r w:rsidRPr="00B85DA3">
        <w:rPr>
          <w:rFonts w:ascii="Times New Roman" w:hAnsi="Times New Roman" w:cs="Times New Roman"/>
          <w:sz w:val="22"/>
        </w:rPr>
        <w:t xml:space="preserve"> </w:t>
      </w:r>
      <w:r w:rsidRPr="00B85DA3">
        <w:rPr>
          <w:rFonts w:ascii="Times New Roman" w:hAnsi="Times New Roman" w:cs="Times New Roman" w:hint="eastAsia"/>
          <w:sz w:val="22"/>
        </w:rPr>
        <w:t>Touch Imaging System</w:t>
      </w:r>
      <w:r w:rsidRPr="00B85DA3">
        <w:rPr>
          <w:rFonts w:ascii="Times New Roman" w:hAnsi="Times New Roman" w:cs="Times New Roman"/>
          <w:sz w:val="22"/>
        </w:rPr>
        <w:t>, and analyzed with the Image Lab</w:t>
      </w:r>
      <w:r w:rsidRPr="00B85DA3">
        <w:rPr>
          <w:rFonts w:ascii="Times New Roman" w:hAnsi="Times New Roman" w:cs="Times New Roman"/>
          <w:sz w:val="22"/>
          <w:vertAlign w:val="superscript"/>
        </w:rPr>
        <w:t xml:space="preserve">TM </w:t>
      </w:r>
      <w:r w:rsidRPr="00B85DA3">
        <w:rPr>
          <w:rFonts w:ascii="Times New Roman" w:hAnsi="Times New Roman" w:cs="Times New Roman" w:hint="eastAsia"/>
          <w:sz w:val="22"/>
        </w:rPr>
        <w:t>Software</w:t>
      </w:r>
      <w:r w:rsidRPr="00B85DA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 xml:space="preserve">The red boxes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lastRenderedPageBreak/>
        <w:t>indicate the cropped regions used in the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6F2579">
        <w:rPr>
          <w:rFonts w:ascii="Times New Roman" w:hAnsi="Times New Roman" w:cs="Times New Roman"/>
          <w:color w:val="000000" w:themeColor="text1"/>
          <w:sz w:val="22"/>
        </w:rPr>
        <w:t>representative figures.</w:t>
      </w:r>
    </w:p>
    <w:p w:rsidR="00E14A62" w:rsidRPr="00145946" w:rsidRDefault="00E14A62" w:rsidP="00E14A62">
      <w:pPr>
        <w:widowControl/>
        <w:wordWrap/>
        <w:autoSpaceDE/>
        <w:autoSpaceDN/>
      </w:pPr>
      <w:r w:rsidRPr="00741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741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145946">
        <w:rPr>
          <w:rFonts w:ascii="Times New Roman" w:hAnsi="Times New Roman" w:cs="Times New Roman"/>
          <w:sz w:val="22"/>
        </w:rPr>
        <w:t>Supplementary Methods</w:t>
      </w:r>
      <w:r>
        <w:rPr>
          <w:rFonts w:ascii="Times New Roman" w:hAnsi="Times New Roman" w:cs="Times New Roman" w:hint="eastAsia"/>
          <w:sz w:val="22"/>
        </w:rPr>
        <w:t>.</w:t>
      </w:r>
    </w:p>
    <w:p w:rsidR="00E14A62" w:rsidRDefault="00E14A62" w:rsidP="00E14A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140B6F" w:rsidRDefault="00140B6F">
      <w:bookmarkStart w:id="1" w:name="_GoBack"/>
      <w:bookmarkEnd w:id="1"/>
    </w:p>
    <w:sectPr w:rsidR="00140B6F" w:rsidSect="008C78D4">
      <w:footerReference w:type="default" r:id="rId4"/>
      <w:pgSz w:w="11906" w:h="16838"/>
      <w:pgMar w:top="1701" w:right="1440" w:bottom="1440" w:left="1440" w:header="851" w:footer="992" w:gutter="0"/>
      <w:lnNumType w:countBy="1" w:restart="continuous"/>
      <w:pgNumType w:chapStyle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373548"/>
      <w:docPartObj>
        <w:docPartGallery w:val="Page Numbers (Bottom of Page)"/>
        <w:docPartUnique/>
      </w:docPartObj>
    </w:sdtPr>
    <w:sdtEndPr/>
    <w:sdtContent>
      <w:p w:rsidR="00A74179" w:rsidRDefault="00E14A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4A62">
          <w:rPr>
            <w:noProof/>
            <w:lang w:val="ko-KR"/>
          </w:rPr>
          <w:t>2</w:t>
        </w:r>
        <w:r>
          <w:fldChar w:fldCharType="end"/>
        </w:r>
      </w:p>
    </w:sdtContent>
  </w:sdt>
  <w:p w:rsidR="00A74179" w:rsidRDefault="00E14A6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62"/>
    <w:rsid w:val="00140B6F"/>
    <w:rsid w:val="00E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EA048-C67F-4262-804A-9E35627C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6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Batang" w:eastAsia="Batang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4A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14A62"/>
    <w:rPr>
      <w:rFonts w:ascii="Batang" w:eastAsia="Batang"/>
      <w:kern w:val="2"/>
      <w:sz w:val="20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E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Company>Springer Nature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2020-08-26T09:22:00Z</dcterms:created>
  <dcterms:modified xsi:type="dcterms:W3CDTF">2020-08-26T09:22:00Z</dcterms:modified>
</cp:coreProperties>
</file>